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7B867" w14:textId="51EDFC51" w:rsidR="002F3885" w:rsidRDefault="002F3885" w:rsidP="005C0A0A">
      <w:pPr>
        <w:pStyle w:val="Title"/>
        <w:ind w:right="1440"/>
        <w:jc w:val="left"/>
        <w:rPr>
          <w:sz w:val="28"/>
          <w:szCs w:val="28"/>
        </w:rPr>
      </w:pPr>
      <w:r>
        <w:rPr>
          <w:noProof/>
        </w:rPr>
        <w:drawing>
          <wp:inline distT="0" distB="0" distL="0" distR="0" wp14:anchorId="2F6BD34B" wp14:editId="6ABF358E">
            <wp:extent cx="2079381" cy="628650"/>
            <wp:effectExtent l="0" t="0" r="0" b="0"/>
            <wp:docPr id="1" name="Picture 1" descr="https://intranet.state.mo.us/dnr/wp-content/uploads/sites/21/2018/06/DNRb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state.mo.us/dnr/wp-content/uploads/sites/21/2018/06/DNRbw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0959" cy="635174"/>
                    </a:xfrm>
                    <a:prstGeom prst="rect">
                      <a:avLst/>
                    </a:prstGeom>
                    <a:noFill/>
                    <a:ln>
                      <a:noFill/>
                    </a:ln>
                  </pic:spPr>
                </pic:pic>
              </a:graphicData>
            </a:graphic>
          </wp:inline>
        </w:drawing>
      </w:r>
    </w:p>
    <w:p w14:paraId="31F59255" w14:textId="5A4D5AFD" w:rsidR="0022064E" w:rsidRDefault="0022064E" w:rsidP="005C0A0A">
      <w:pPr>
        <w:pStyle w:val="Title"/>
        <w:ind w:right="1440"/>
        <w:jc w:val="left"/>
        <w:rPr>
          <w:sz w:val="24"/>
          <w:szCs w:val="24"/>
        </w:rPr>
      </w:pPr>
    </w:p>
    <w:p w14:paraId="64A87440" w14:textId="77777777" w:rsidR="005C0A0A" w:rsidRPr="006E7D7E" w:rsidRDefault="005C0A0A">
      <w:pPr>
        <w:pStyle w:val="Title"/>
        <w:ind w:right="1440"/>
        <w:jc w:val="left"/>
        <w:rPr>
          <w:sz w:val="24"/>
          <w:szCs w:val="24"/>
        </w:rPr>
      </w:pPr>
    </w:p>
    <w:p w14:paraId="45E47A40" w14:textId="77777777" w:rsidR="005C0A0A" w:rsidRDefault="008928AB">
      <w:pPr>
        <w:pStyle w:val="Title"/>
        <w:rPr>
          <w:sz w:val="24"/>
          <w:szCs w:val="24"/>
        </w:rPr>
      </w:pPr>
      <w:r w:rsidRPr="006E7D7E">
        <w:rPr>
          <w:sz w:val="24"/>
          <w:szCs w:val="24"/>
        </w:rPr>
        <w:t xml:space="preserve">Technical Demonstration for the </w:t>
      </w:r>
      <w:r w:rsidR="00887E5E" w:rsidRPr="006E7D7E">
        <w:rPr>
          <w:sz w:val="24"/>
          <w:szCs w:val="24"/>
        </w:rPr>
        <w:t xml:space="preserve">Removal of </w:t>
      </w:r>
      <w:r w:rsidR="000700E1" w:rsidRPr="006E7D7E">
        <w:rPr>
          <w:sz w:val="24"/>
          <w:szCs w:val="24"/>
        </w:rPr>
        <w:t xml:space="preserve">the </w:t>
      </w:r>
    </w:p>
    <w:p w14:paraId="50A7B0DD" w14:textId="77777777" w:rsidR="005C0A0A" w:rsidRDefault="00887E5E">
      <w:pPr>
        <w:pStyle w:val="Title"/>
        <w:rPr>
          <w:sz w:val="24"/>
          <w:szCs w:val="24"/>
        </w:rPr>
      </w:pPr>
      <w:r w:rsidRPr="006E7D7E">
        <w:rPr>
          <w:sz w:val="24"/>
          <w:szCs w:val="24"/>
        </w:rPr>
        <w:t xml:space="preserve">Gateway Vehicle Inspection Program in the </w:t>
      </w:r>
    </w:p>
    <w:p w14:paraId="3C31D7DE" w14:textId="4C3CB990" w:rsidR="002010C0" w:rsidRPr="006E7D7E" w:rsidRDefault="00887E5E">
      <w:pPr>
        <w:pStyle w:val="Title"/>
        <w:rPr>
          <w:sz w:val="24"/>
          <w:szCs w:val="24"/>
        </w:rPr>
      </w:pPr>
      <w:r w:rsidRPr="006E7D7E">
        <w:rPr>
          <w:sz w:val="24"/>
          <w:szCs w:val="24"/>
        </w:rPr>
        <w:t>Boles Township Ozone Nonattainment Area</w:t>
      </w:r>
    </w:p>
    <w:p w14:paraId="4D8CC181" w14:textId="77777777" w:rsidR="00887E5E" w:rsidRPr="006E7D7E" w:rsidRDefault="00887E5E">
      <w:pPr>
        <w:pStyle w:val="Title"/>
        <w:rPr>
          <w:b w:val="0"/>
          <w:sz w:val="24"/>
          <w:szCs w:val="24"/>
        </w:rPr>
      </w:pPr>
    </w:p>
    <w:p w14:paraId="66AB7991" w14:textId="77777777" w:rsidR="006F5922" w:rsidRPr="0022064E" w:rsidRDefault="006F5922">
      <w:pPr>
        <w:pStyle w:val="Title"/>
        <w:jc w:val="left"/>
        <w:rPr>
          <w:b w:val="0"/>
          <w:sz w:val="24"/>
          <w:szCs w:val="24"/>
        </w:rPr>
      </w:pPr>
    </w:p>
    <w:p w14:paraId="0B84F870" w14:textId="77777777" w:rsidR="00A97D3E" w:rsidRPr="00356C7F" w:rsidRDefault="00CF264B">
      <w:pPr>
        <w:keepNext/>
        <w:keepLines/>
        <w:spacing w:after="0"/>
        <w:ind w:left="360"/>
        <w:outlineLvl w:val="0"/>
        <w:rPr>
          <w:rFonts w:eastAsiaTheme="majorEastAsia"/>
          <w:b/>
          <w:szCs w:val="24"/>
        </w:rPr>
      </w:pPr>
      <w:bookmarkStart w:id="0" w:name="_Toc5975686"/>
      <w:bookmarkStart w:id="1" w:name="_Toc15629251"/>
      <w:r w:rsidRPr="00356C7F">
        <w:rPr>
          <w:rFonts w:eastAsiaTheme="majorEastAsia"/>
          <w:b/>
          <w:szCs w:val="24"/>
        </w:rPr>
        <w:t xml:space="preserve">Purpose and </w:t>
      </w:r>
      <w:r w:rsidR="00A97D3E" w:rsidRPr="00356C7F">
        <w:rPr>
          <w:rFonts w:eastAsiaTheme="majorEastAsia"/>
          <w:b/>
          <w:szCs w:val="24"/>
        </w:rPr>
        <w:t>Background</w:t>
      </w:r>
      <w:bookmarkEnd w:id="0"/>
      <w:bookmarkEnd w:id="1"/>
    </w:p>
    <w:p w14:paraId="003909AE" w14:textId="77777777" w:rsidR="0088212D" w:rsidRPr="003C282F" w:rsidRDefault="0088212D">
      <w:pPr>
        <w:spacing w:after="0"/>
        <w:rPr>
          <w:szCs w:val="24"/>
        </w:rPr>
      </w:pPr>
    </w:p>
    <w:p w14:paraId="36B6ADA7" w14:textId="10A825F3" w:rsidR="00D213F6" w:rsidRDefault="00CF264B" w:rsidP="005C0A0A">
      <w:pPr>
        <w:autoSpaceDE w:val="0"/>
        <w:autoSpaceDN w:val="0"/>
        <w:adjustRightInd w:val="0"/>
        <w:spacing w:after="0"/>
        <w:rPr>
          <w:szCs w:val="24"/>
        </w:rPr>
      </w:pPr>
      <w:r w:rsidRPr="003C282F">
        <w:rPr>
          <w:szCs w:val="24"/>
        </w:rPr>
        <w:t xml:space="preserve">The purpose of </w:t>
      </w:r>
      <w:r w:rsidR="00626EA9" w:rsidRPr="003C282F">
        <w:rPr>
          <w:szCs w:val="24"/>
        </w:rPr>
        <w:t>this document</w:t>
      </w:r>
      <w:r w:rsidRPr="003C282F">
        <w:rPr>
          <w:szCs w:val="24"/>
        </w:rPr>
        <w:t xml:space="preserve"> is to </w:t>
      </w:r>
      <w:r w:rsidR="007A7120" w:rsidRPr="00356C7F">
        <w:rPr>
          <w:szCs w:val="24"/>
        </w:rPr>
        <w:t xml:space="preserve">provide additional information </w:t>
      </w:r>
      <w:r w:rsidRPr="003C282F">
        <w:rPr>
          <w:szCs w:val="24"/>
        </w:rPr>
        <w:t>demonstrat</w:t>
      </w:r>
      <w:r w:rsidR="007A7120" w:rsidRPr="00356C7F">
        <w:rPr>
          <w:szCs w:val="24"/>
        </w:rPr>
        <w:t>ing</w:t>
      </w:r>
      <w:r w:rsidRPr="003C282F">
        <w:rPr>
          <w:szCs w:val="24"/>
        </w:rPr>
        <w:t xml:space="preserve"> that removal of the </w:t>
      </w:r>
      <w:r w:rsidR="00FB6C7D" w:rsidRPr="003C282F">
        <w:rPr>
          <w:szCs w:val="24"/>
        </w:rPr>
        <w:t xml:space="preserve">Gateway Vehicle Inspection Program (GVIP) requirements in </w:t>
      </w:r>
      <w:r w:rsidR="000700E1" w:rsidRPr="003C282F">
        <w:rPr>
          <w:szCs w:val="24"/>
        </w:rPr>
        <w:t>Boles Township</w:t>
      </w:r>
      <w:r w:rsidR="001B6EC1" w:rsidRPr="003C282F">
        <w:rPr>
          <w:szCs w:val="24"/>
        </w:rPr>
        <w:t xml:space="preserve"> </w:t>
      </w:r>
      <w:r w:rsidRPr="003C282F">
        <w:rPr>
          <w:szCs w:val="24"/>
        </w:rPr>
        <w:t>complies with Section 110(l) of the Clean Air Act</w:t>
      </w:r>
      <w:r w:rsidR="001C5E52" w:rsidRPr="003C282F">
        <w:rPr>
          <w:szCs w:val="24"/>
        </w:rPr>
        <w:t xml:space="preserve"> (CAA)</w:t>
      </w:r>
      <w:r w:rsidR="00517517" w:rsidRPr="003C282F">
        <w:rPr>
          <w:szCs w:val="24"/>
        </w:rPr>
        <w:t>.</w:t>
      </w:r>
      <w:r w:rsidR="000700E1" w:rsidRPr="003C282F">
        <w:rPr>
          <w:szCs w:val="24"/>
        </w:rPr>
        <w:t xml:space="preserve"> </w:t>
      </w:r>
      <w:r w:rsidR="00FE161D" w:rsidRPr="00356C7F">
        <w:rPr>
          <w:szCs w:val="24"/>
        </w:rPr>
        <w:t xml:space="preserve">This document supports the removal of Boles Township from GVIP requirements by demonstrating that contemporaneous emission reductions have occurred in the 2015 ozone St. Louis nonattainment area that are equivalent to the forgone emissions benefit in Boles </w:t>
      </w:r>
      <w:r w:rsidR="00FE161D" w:rsidRPr="00D7366A">
        <w:rPr>
          <w:szCs w:val="24"/>
        </w:rPr>
        <w:t>Township.</w:t>
      </w:r>
      <w:r w:rsidR="00D213F6" w:rsidRPr="00E73D77">
        <w:rPr>
          <w:szCs w:val="24"/>
        </w:rPr>
        <w:t xml:space="preserve"> Although t</w:t>
      </w:r>
      <w:r w:rsidR="00FE161D" w:rsidRPr="00E73D77">
        <w:rPr>
          <w:szCs w:val="24"/>
        </w:rPr>
        <w:t xml:space="preserve">he </w:t>
      </w:r>
      <w:r w:rsidR="00D213F6" w:rsidRPr="00E73D77">
        <w:rPr>
          <w:szCs w:val="24"/>
        </w:rPr>
        <w:t>Boles T</w:t>
      </w:r>
      <w:r w:rsidR="00FE161D" w:rsidRPr="00E73D77">
        <w:rPr>
          <w:szCs w:val="24"/>
        </w:rPr>
        <w:t xml:space="preserve">ownship is </w:t>
      </w:r>
      <w:r w:rsidR="00D213F6" w:rsidRPr="00E73D77">
        <w:rPr>
          <w:szCs w:val="24"/>
        </w:rPr>
        <w:t>part of the 2015 ozone St. Louis nonattainment are</w:t>
      </w:r>
      <w:r w:rsidR="00E73D77">
        <w:rPr>
          <w:szCs w:val="24"/>
        </w:rPr>
        <w:t>a</w:t>
      </w:r>
      <w:r w:rsidR="00D213F6" w:rsidRPr="00E73D77">
        <w:rPr>
          <w:szCs w:val="24"/>
        </w:rPr>
        <w:t xml:space="preserve">, it is </w:t>
      </w:r>
      <w:r w:rsidR="00FE161D" w:rsidRPr="00E73D77">
        <w:rPr>
          <w:szCs w:val="24"/>
        </w:rPr>
        <w:t xml:space="preserve">located </w:t>
      </w:r>
      <w:r w:rsidR="00D213F6" w:rsidRPr="00E73D77">
        <w:rPr>
          <w:szCs w:val="24"/>
        </w:rPr>
        <w:t xml:space="preserve">inside Franklin County and </w:t>
      </w:r>
      <w:r w:rsidR="00FE161D" w:rsidRPr="00E73D77">
        <w:rPr>
          <w:szCs w:val="24"/>
        </w:rPr>
        <w:t>outside the urbanized area of the bi-state St. Louis metropolitan area</w:t>
      </w:r>
      <w:r w:rsidR="00D213F6" w:rsidRPr="00E73D77">
        <w:rPr>
          <w:szCs w:val="24"/>
        </w:rPr>
        <w:t xml:space="preserve">. </w:t>
      </w:r>
      <w:r w:rsidR="00D213F6" w:rsidRPr="00D7366A">
        <w:rPr>
          <w:szCs w:val="24"/>
        </w:rPr>
        <w:t>Removal</w:t>
      </w:r>
      <w:r w:rsidR="00D213F6" w:rsidRPr="00356C7F">
        <w:rPr>
          <w:szCs w:val="24"/>
        </w:rPr>
        <w:t xml:space="preserve"> of GVIP from Boles Township will not impact attainment </w:t>
      </w:r>
      <w:r w:rsidR="00D213F6">
        <w:rPr>
          <w:szCs w:val="24"/>
        </w:rPr>
        <w:t>or maintenance of</w:t>
      </w:r>
      <w:r w:rsidR="00D213F6" w:rsidRPr="00356C7F">
        <w:rPr>
          <w:szCs w:val="24"/>
        </w:rPr>
        <w:t xml:space="preserve"> any National Ambient Air Quality Standard (NAAQS), including the 2015 ozone standard.</w:t>
      </w:r>
    </w:p>
    <w:p w14:paraId="7D832A8E" w14:textId="77777777" w:rsidR="005C0A0A" w:rsidRDefault="005C0A0A" w:rsidP="005C0A0A">
      <w:pPr>
        <w:autoSpaceDE w:val="0"/>
        <w:autoSpaceDN w:val="0"/>
        <w:adjustRightInd w:val="0"/>
        <w:spacing w:after="0"/>
        <w:rPr>
          <w:szCs w:val="24"/>
          <w:highlight w:val="yellow"/>
        </w:rPr>
      </w:pPr>
    </w:p>
    <w:p w14:paraId="419C4031" w14:textId="24FBDD26" w:rsidR="00FE161D" w:rsidRDefault="00213A14" w:rsidP="005C0A0A">
      <w:pPr>
        <w:pStyle w:val="NormalWeb"/>
        <w:spacing w:before="0" w:beforeAutospacing="0" w:after="0" w:afterAutospacing="0"/>
        <w:rPr>
          <w:rFonts w:ascii="TimesNewRomanPSMT" w:hAnsi="TimesNewRomanPSMT"/>
        </w:rPr>
      </w:pPr>
      <w:r w:rsidRPr="00737A1C">
        <w:t xml:space="preserve">In addition, removal of GVIP in Franklin and Jefferson counties will comply with the CAA requirements </w:t>
      </w:r>
      <w:r>
        <w:t>related</w:t>
      </w:r>
      <w:r w:rsidRPr="00737A1C">
        <w:t xml:space="preserve"> to </w:t>
      </w:r>
      <w:r>
        <w:t xml:space="preserve">the protection of </w:t>
      </w:r>
      <w:r w:rsidRPr="00737A1C">
        <w:t>visibility in Federal Class I Areas.</w:t>
      </w:r>
      <w:r w:rsidRPr="00B34735">
        <w:t xml:space="preserve"> </w:t>
      </w:r>
      <w:r>
        <w:rPr>
          <w:rFonts w:ascii="TimesNewRomanPSMT" w:hAnsi="TimesNewRomanPSMT"/>
        </w:rPr>
        <w:t>The two Federal Class I areas within Missouri are Hercules Glades and Mingo.</w:t>
      </w:r>
      <w:r w:rsidRPr="00356C7F">
        <w:t xml:space="preserve"> </w:t>
      </w:r>
      <w:r>
        <w:rPr>
          <w:rFonts w:ascii="TimesNewRomanPSMT" w:hAnsi="TimesNewRomanPSMT"/>
        </w:rPr>
        <w:t>Missouri’s plan to address visibility focuse</w:t>
      </w:r>
      <w:r w:rsidR="00CD3667">
        <w:rPr>
          <w:rFonts w:ascii="TimesNewRomanPSMT" w:hAnsi="TimesNewRomanPSMT"/>
        </w:rPr>
        <w:t>s</w:t>
      </w:r>
      <w:r>
        <w:rPr>
          <w:rFonts w:ascii="TimesNewRomanPSMT" w:hAnsi="TimesNewRomanPSMT"/>
        </w:rPr>
        <w:t xml:space="preserve"> on the reduction of sulfur dioxide (SO</w:t>
      </w:r>
      <w:r>
        <w:rPr>
          <w:rFonts w:ascii="TimesNewRomanPSMT" w:hAnsi="TimesNewRomanPSMT"/>
          <w:sz w:val="14"/>
          <w:szCs w:val="14"/>
        </w:rPr>
        <w:t>2</w:t>
      </w:r>
      <w:r>
        <w:rPr>
          <w:rFonts w:ascii="TimesNewRomanPSMT" w:hAnsi="TimesNewRomanPSMT"/>
        </w:rPr>
        <w:t xml:space="preserve">) emissions and oxides of nitrogen </w:t>
      </w:r>
      <w:r w:rsidRPr="00CD3667">
        <w:rPr>
          <w:rFonts w:ascii="TimesNewRomanPSMT" w:hAnsi="TimesNewRomanPSMT"/>
        </w:rPr>
        <w:t>(</w:t>
      </w:r>
      <w:r w:rsidR="00CD3667">
        <w:rPr>
          <w:rFonts w:ascii="TimesNewRomanPSMT" w:hAnsi="TimesNewRomanPSMT"/>
        </w:rPr>
        <w:t>NO</w:t>
      </w:r>
      <w:r w:rsidR="00CD3667">
        <w:rPr>
          <w:rFonts w:ascii="TimesNewRomanPSMT" w:hAnsi="TimesNewRomanPSMT"/>
          <w:vertAlign w:val="subscript"/>
        </w:rPr>
        <w:t>x</w:t>
      </w:r>
      <w:r w:rsidRPr="00CD3667">
        <w:rPr>
          <w:rFonts w:ascii="TimesNewRomanPSMT" w:hAnsi="TimesNewRomanPSMT"/>
        </w:rPr>
        <w:t xml:space="preserve">) </w:t>
      </w:r>
      <w:r>
        <w:rPr>
          <w:rFonts w:ascii="TimesNewRomanPSMT" w:hAnsi="TimesNewRomanPSMT"/>
        </w:rPr>
        <w:t xml:space="preserve">emissions, which are the largest contributors to visibility impairment at both Hercules Glades and Mingo. Major anthropogenic sources of these emissions are </w:t>
      </w:r>
      <w:r w:rsidR="00CD3667">
        <w:rPr>
          <w:rFonts w:ascii="TimesNewRomanPSMT" w:hAnsi="TimesNewRomanPSMT"/>
        </w:rPr>
        <w:t>electric generating units (</w:t>
      </w:r>
      <w:r w:rsidRPr="00CD3667">
        <w:rPr>
          <w:rFonts w:ascii="TimesNewRomanPSMT" w:hAnsi="TimesNewRomanPSMT"/>
        </w:rPr>
        <w:t>EGU</w:t>
      </w:r>
      <w:r w:rsidR="00CD3667" w:rsidRPr="00CD3667">
        <w:rPr>
          <w:rFonts w:ascii="TimesNewRomanPSMT" w:hAnsi="TimesNewRomanPSMT"/>
        </w:rPr>
        <w:t>)</w:t>
      </w:r>
      <w:r>
        <w:rPr>
          <w:rFonts w:ascii="TimesNewRomanPSMT" w:hAnsi="TimesNewRomanPSMT"/>
        </w:rPr>
        <w:t xml:space="preserve"> and large industrial boilers </w:t>
      </w:r>
      <w:r w:rsidR="00CD3667">
        <w:rPr>
          <w:rFonts w:ascii="TimesNewRomanPSMT" w:hAnsi="TimesNewRomanPSMT"/>
        </w:rPr>
        <w:t>with</w:t>
      </w:r>
      <w:r>
        <w:rPr>
          <w:rFonts w:ascii="TimesNewRomanPSMT" w:hAnsi="TimesNewRomanPSMT"/>
        </w:rPr>
        <w:t xml:space="preserve"> </w:t>
      </w:r>
      <w:r w:rsidR="00CD3667">
        <w:rPr>
          <w:rFonts w:ascii="TimesNewRomanPSMT" w:hAnsi="TimesNewRomanPSMT"/>
        </w:rPr>
        <w:t>the</w:t>
      </w:r>
      <w:r>
        <w:rPr>
          <w:rFonts w:ascii="TimesNewRomanPSMT" w:hAnsi="TimesNewRomanPSMT"/>
        </w:rPr>
        <w:t xml:space="preserve"> majority of these sources hav</w:t>
      </w:r>
      <w:r w:rsidR="00CD3667">
        <w:rPr>
          <w:rFonts w:ascii="TimesNewRomanPSMT" w:hAnsi="TimesNewRomanPSMT"/>
        </w:rPr>
        <w:t>ing</w:t>
      </w:r>
      <w:r>
        <w:rPr>
          <w:rFonts w:ascii="TimesNewRomanPSMT" w:hAnsi="TimesNewRomanPSMT"/>
        </w:rPr>
        <w:t xml:space="preserve"> installed controls because of a number of requirements, including </w:t>
      </w:r>
      <w:r w:rsidR="00CD3667">
        <w:rPr>
          <w:rFonts w:ascii="TimesNewRomanPSMT" w:hAnsi="TimesNewRomanPSMT"/>
        </w:rPr>
        <w:t xml:space="preserve">the Clean Air Interstate Rule </w:t>
      </w:r>
      <w:r w:rsidR="00CD3667" w:rsidRPr="00CD3667">
        <w:rPr>
          <w:rFonts w:ascii="TimesNewRomanPSMT" w:hAnsi="TimesNewRomanPSMT"/>
        </w:rPr>
        <w:t>(</w:t>
      </w:r>
      <w:r w:rsidRPr="00CD3667">
        <w:rPr>
          <w:rFonts w:ascii="TimesNewRomanPSMT" w:hAnsi="TimesNewRomanPSMT"/>
        </w:rPr>
        <w:t>CAIR</w:t>
      </w:r>
      <w:r w:rsidR="00CD3667" w:rsidRPr="00CD3667">
        <w:rPr>
          <w:rFonts w:ascii="TimesNewRomanPSMT" w:hAnsi="TimesNewRomanPSMT"/>
        </w:rPr>
        <w:t>)</w:t>
      </w:r>
      <w:r w:rsidRPr="00CD3667">
        <w:rPr>
          <w:rFonts w:ascii="TimesNewRomanPSMT" w:hAnsi="TimesNewRomanPSMT"/>
        </w:rPr>
        <w:t xml:space="preserve">, </w:t>
      </w:r>
      <w:r w:rsidR="00CD3667" w:rsidRPr="00CD3667">
        <w:rPr>
          <w:rFonts w:ascii="TimesNewRomanPSMT" w:hAnsi="TimesNewRomanPSMT"/>
        </w:rPr>
        <w:t>the Cross-State Air Pollution Rule (</w:t>
      </w:r>
      <w:r w:rsidRPr="00CD3667">
        <w:rPr>
          <w:rFonts w:ascii="TimesNewRomanPSMT" w:hAnsi="TimesNewRomanPSMT"/>
        </w:rPr>
        <w:t>CSAPR</w:t>
      </w:r>
      <w:r w:rsidR="00CD3667" w:rsidRPr="00CD3667">
        <w:rPr>
          <w:rFonts w:ascii="TimesNewRomanPSMT" w:hAnsi="TimesNewRomanPSMT"/>
        </w:rPr>
        <w:t>)</w:t>
      </w:r>
      <w:r w:rsidRPr="00CD3667">
        <w:rPr>
          <w:rFonts w:ascii="TimesNewRomanPSMT" w:hAnsi="TimesNewRomanPSMT"/>
        </w:rPr>
        <w:t>, state programs, and state and federal cons</w:t>
      </w:r>
      <w:r>
        <w:rPr>
          <w:rFonts w:ascii="TimesNewRomanPSMT" w:hAnsi="TimesNewRomanPSMT"/>
        </w:rPr>
        <w:t xml:space="preserve">ent </w:t>
      </w:r>
      <w:r w:rsidRPr="005C0A0A">
        <w:t xml:space="preserve">agreements, which have reduced </w:t>
      </w:r>
      <w:r w:rsidR="00CD3667">
        <w:t>SO</w:t>
      </w:r>
      <w:r w:rsidR="00CD3667">
        <w:rPr>
          <w:vertAlign w:val="subscript"/>
        </w:rPr>
        <w:t>2</w:t>
      </w:r>
      <w:r w:rsidRPr="005C0A0A">
        <w:rPr>
          <w:position w:val="-2"/>
        </w:rPr>
        <w:t xml:space="preserve"> </w:t>
      </w:r>
      <w:r w:rsidRPr="005C0A0A">
        <w:t xml:space="preserve">and </w:t>
      </w:r>
      <w:r w:rsidR="00CD3667">
        <w:t>NO</w:t>
      </w:r>
      <w:r w:rsidR="00CD3667">
        <w:rPr>
          <w:vertAlign w:val="subscript"/>
        </w:rPr>
        <w:t>x</w:t>
      </w:r>
      <w:r w:rsidRPr="00CD3667">
        <w:rPr>
          <w:rFonts w:ascii="TimesNewRomanPSMT" w:hAnsi="TimesNewRomanPSMT"/>
        </w:rPr>
        <w:t xml:space="preserve"> </w:t>
      </w:r>
      <w:r w:rsidRPr="005C0A0A">
        <w:t>emissions. Although the mobile sector is considered an</w:t>
      </w:r>
      <w:r>
        <w:t xml:space="preserve"> anthropogenic source of emissions, </w:t>
      </w:r>
      <w:r w:rsidRPr="00356C7F">
        <w:t xml:space="preserve">modeled </w:t>
      </w:r>
      <w:r>
        <w:t xml:space="preserve">emissions </w:t>
      </w:r>
      <w:r w:rsidRPr="00356C7F">
        <w:t xml:space="preserve">from the </w:t>
      </w:r>
      <w:proofErr w:type="spellStart"/>
      <w:r w:rsidRPr="00356C7F">
        <w:t>onroad</w:t>
      </w:r>
      <w:proofErr w:type="spellEnd"/>
      <w:r w:rsidRPr="00356C7F">
        <w:t xml:space="preserve"> mobile sector in the St. Louis area are projected to declin</w:t>
      </w:r>
      <w:r>
        <w:t>e</w:t>
      </w:r>
      <w:r w:rsidRPr="00356C7F">
        <w:t xml:space="preserve"> in the future even without GVIP in place</w:t>
      </w:r>
      <w:r>
        <w:t>, which will contribute to the</w:t>
      </w:r>
      <w:r>
        <w:rPr>
          <w:rFonts w:ascii="TimesNewRomanPSMT" w:hAnsi="TimesNewRomanPSMT"/>
        </w:rPr>
        <w:t xml:space="preserve"> downward trend in visibility impairment at Missouri’s Class I areas. T</w:t>
      </w:r>
      <w:r>
        <w:t xml:space="preserve">he removal of GVIP in Franklin and Jefferson counties does not impede </w:t>
      </w:r>
      <w:r w:rsidRPr="00356C7F">
        <w:t xml:space="preserve">reasonable progress </w:t>
      </w:r>
      <w:r>
        <w:rPr>
          <w:rFonts w:ascii="TimesNewRomanPSMT" w:hAnsi="TimesNewRomanPSMT"/>
        </w:rPr>
        <w:t>toward meeting the goal of a return to natural visibility conditions by 2064.</w:t>
      </w:r>
    </w:p>
    <w:p w14:paraId="46DBC06E" w14:textId="77777777" w:rsidR="005C0A0A" w:rsidRPr="00356C7F" w:rsidRDefault="005C0A0A" w:rsidP="005C0A0A">
      <w:pPr>
        <w:pStyle w:val="NormalWeb"/>
        <w:spacing w:before="0" w:beforeAutospacing="0" w:after="0" w:afterAutospacing="0"/>
      </w:pPr>
    </w:p>
    <w:p w14:paraId="48592C20" w14:textId="675B1DF0" w:rsidR="001C5E52" w:rsidRPr="003C282F" w:rsidRDefault="007A7120" w:rsidP="005C0A0A">
      <w:pPr>
        <w:autoSpaceDE w:val="0"/>
        <w:autoSpaceDN w:val="0"/>
        <w:adjustRightInd w:val="0"/>
        <w:spacing w:after="0"/>
        <w:rPr>
          <w:szCs w:val="24"/>
        </w:rPr>
      </w:pPr>
      <w:r w:rsidRPr="00356C7F">
        <w:rPr>
          <w:szCs w:val="24"/>
        </w:rPr>
        <w:t>The U.S. Environmental Protection Agency (</w:t>
      </w:r>
      <w:r w:rsidR="00220042" w:rsidRPr="003C282F">
        <w:rPr>
          <w:szCs w:val="24"/>
        </w:rPr>
        <w:t>EPA</w:t>
      </w:r>
      <w:r w:rsidRPr="00356C7F">
        <w:rPr>
          <w:szCs w:val="24"/>
        </w:rPr>
        <w:t>)</w:t>
      </w:r>
      <w:r w:rsidR="00220042" w:rsidRPr="003C282F">
        <w:rPr>
          <w:szCs w:val="24"/>
        </w:rPr>
        <w:t xml:space="preserve"> designated the City of St. Louis, St. Louis and St. Charles counties and Boles Township in Franklin County</w:t>
      </w:r>
      <w:r w:rsidR="005708C0" w:rsidRPr="003C282F">
        <w:rPr>
          <w:szCs w:val="24"/>
        </w:rPr>
        <w:t xml:space="preserve"> </w:t>
      </w:r>
      <w:r w:rsidR="00FE161D" w:rsidRPr="00356C7F">
        <w:rPr>
          <w:szCs w:val="24"/>
        </w:rPr>
        <w:t xml:space="preserve">as a marginal nonattainment area for the 2015 8-hour Ozone NAAQS </w:t>
      </w:r>
      <w:r w:rsidR="004D615B" w:rsidRPr="00356C7F">
        <w:rPr>
          <w:szCs w:val="24"/>
        </w:rPr>
        <w:t>effective August 3,</w:t>
      </w:r>
      <w:r w:rsidR="005708C0" w:rsidRPr="003C282F">
        <w:rPr>
          <w:szCs w:val="24"/>
        </w:rPr>
        <w:t xml:space="preserve"> 2018</w:t>
      </w:r>
      <w:r w:rsidR="00220042" w:rsidRPr="003C282F">
        <w:rPr>
          <w:szCs w:val="24"/>
        </w:rPr>
        <w:t xml:space="preserve">. The </w:t>
      </w:r>
      <w:r w:rsidR="00CD3667">
        <w:rPr>
          <w:szCs w:val="24"/>
        </w:rPr>
        <w:t>Missouri Department of Natural Resources’ Air Pollution Control Program (</w:t>
      </w:r>
      <w:r w:rsidR="00FE161D" w:rsidRPr="00356C7F">
        <w:rPr>
          <w:szCs w:val="24"/>
        </w:rPr>
        <w:t>a</w:t>
      </w:r>
      <w:r w:rsidR="00220042" w:rsidRPr="003C282F">
        <w:rPr>
          <w:szCs w:val="24"/>
        </w:rPr>
        <w:t>ir program</w:t>
      </w:r>
      <w:r w:rsidR="00CD3667">
        <w:rPr>
          <w:szCs w:val="24"/>
        </w:rPr>
        <w:t>)</w:t>
      </w:r>
      <w:r w:rsidR="00220042" w:rsidRPr="003C282F">
        <w:rPr>
          <w:szCs w:val="24"/>
        </w:rPr>
        <w:t xml:space="preserve"> submitted a State Implementation Plan (SIP) revision to EPA in November of 2019 </w:t>
      </w:r>
      <w:r w:rsidR="00CE5AE7">
        <w:rPr>
          <w:szCs w:val="24"/>
        </w:rPr>
        <w:t>(</w:t>
      </w:r>
      <w:r w:rsidR="00B81C80">
        <w:rPr>
          <w:szCs w:val="24"/>
        </w:rPr>
        <w:t>2019 I/M Plan Revision</w:t>
      </w:r>
      <w:r w:rsidR="00CE5AE7">
        <w:rPr>
          <w:szCs w:val="24"/>
        </w:rPr>
        <w:t xml:space="preserve">) </w:t>
      </w:r>
      <w:r w:rsidR="00220042" w:rsidRPr="003C282F">
        <w:rPr>
          <w:szCs w:val="24"/>
        </w:rPr>
        <w:t xml:space="preserve">requesting the removal of GVIP requirements from Franklin and Jefferson counties. </w:t>
      </w:r>
      <w:r w:rsidR="00B81C80">
        <w:rPr>
          <w:szCs w:val="24"/>
        </w:rPr>
        <w:t xml:space="preserve">As a </w:t>
      </w:r>
      <w:r w:rsidR="00D54A0E">
        <w:rPr>
          <w:szCs w:val="24"/>
        </w:rPr>
        <w:t>follow-</w:t>
      </w:r>
      <w:r w:rsidR="00D54A0E">
        <w:rPr>
          <w:szCs w:val="24"/>
        </w:rPr>
        <w:lastRenderedPageBreak/>
        <w:t>up</w:t>
      </w:r>
      <w:r w:rsidR="00213A14">
        <w:rPr>
          <w:szCs w:val="24"/>
        </w:rPr>
        <w:t>, t</w:t>
      </w:r>
      <w:r w:rsidR="000700E1" w:rsidRPr="003C282F">
        <w:rPr>
          <w:szCs w:val="24"/>
        </w:rPr>
        <w:t>he</w:t>
      </w:r>
      <w:r w:rsidR="005708C0" w:rsidRPr="003C282F">
        <w:rPr>
          <w:szCs w:val="24"/>
        </w:rPr>
        <w:t xml:space="preserve"> air program is removing Jefferson and Franklin </w:t>
      </w:r>
      <w:r w:rsidR="000700E1" w:rsidRPr="003C282F">
        <w:rPr>
          <w:szCs w:val="24"/>
        </w:rPr>
        <w:t>counties</w:t>
      </w:r>
      <w:r w:rsidR="005708C0" w:rsidRPr="003C282F">
        <w:rPr>
          <w:szCs w:val="24"/>
        </w:rPr>
        <w:t>, including Boles Township</w:t>
      </w:r>
      <w:r w:rsidR="00213A14">
        <w:rPr>
          <w:szCs w:val="24"/>
        </w:rPr>
        <w:t>,</w:t>
      </w:r>
      <w:r w:rsidR="000700E1" w:rsidRPr="003C282F">
        <w:rPr>
          <w:szCs w:val="24"/>
        </w:rPr>
        <w:t xml:space="preserve"> </w:t>
      </w:r>
      <w:r w:rsidR="00FB6C7D" w:rsidRPr="003C282F">
        <w:rPr>
          <w:szCs w:val="24"/>
        </w:rPr>
        <w:t xml:space="preserve">from the applicability section of </w:t>
      </w:r>
      <w:r w:rsidR="00FB6C7D" w:rsidRPr="003C282F">
        <w:rPr>
          <w:i/>
          <w:szCs w:val="24"/>
        </w:rPr>
        <w:t>10 CSR 10-5.381 Onboard Diagnostics Motor Vehicle Emissions Inspection</w:t>
      </w:r>
      <w:r w:rsidR="00FB6C7D" w:rsidRPr="003C282F">
        <w:rPr>
          <w:szCs w:val="24"/>
        </w:rPr>
        <w:t>, which is the state rule that specifies the enforceable requirements of GVIP.</w:t>
      </w:r>
    </w:p>
    <w:p w14:paraId="7740C18D" w14:textId="2FE40338" w:rsidR="00FB6C7D" w:rsidRPr="003C282F" w:rsidRDefault="00FB6C7D" w:rsidP="005C0A0A">
      <w:pPr>
        <w:autoSpaceDE w:val="0"/>
        <w:autoSpaceDN w:val="0"/>
        <w:adjustRightInd w:val="0"/>
        <w:spacing w:after="0"/>
        <w:rPr>
          <w:szCs w:val="24"/>
        </w:rPr>
      </w:pPr>
    </w:p>
    <w:p w14:paraId="6223056D" w14:textId="77777777" w:rsidR="0088212D" w:rsidRPr="00356C7F" w:rsidRDefault="0088212D">
      <w:pPr>
        <w:keepNext/>
        <w:keepLines/>
        <w:spacing w:after="0"/>
        <w:ind w:left="360"/>
        <w:outlineLvl w:val="0"/>
        <w:rPr>
          <w:rFonts w:eastAsiaTheme="majorEastAsia"/>
          <w:b/>
          <w:szCs w:val="24"/>
        </w:rPr>
      </w:pPr>
      <w:r w:rsidRPr="00356C7F">
        <w:rPr>
          <w:rFonts w:eastAsiaTheme="majorEastAsia"/>
          <w:b/>
          <w:szCs w:val="24"/>
        </w:rPr>
        <w:t>Equivalent Emission Reduction Demonstration for Removal of the GVIP Requirements in Boles Township</w:t>
      </w:r>
    </w:p>
    <w:p w14:paraId="74940B4D" w14:textId="09610B85" w:rsidR="0088212D" w:rsidRPr="003C282F" w:rsidRDefault="0088212D">
      <w:pPr>
        <w:spacing w:after="0"/>
        <w:rPr>
          <w:szCs w:val="24"/>
        </w:rPr>
      </w:pPr>
    </w:p>
    <w:p w14:paraId="6CC47624" w14:textId="2E674B7A" w:rsidR="0088212D" w:rsidRPr="003C282F" w:rsidRDefault="0088212D">
      <w:pPr>
        <w:spacing w:after="0"/>
        <w:rPr>
          <w:szCs w:val="24"/>
        </w:rPr>
      </w:pPr>
      <w:r w:rsidRPr="003C282F">
        <w:rPr>
          <w:szCs w:val="24"/>
        </w:rPr>
        <w:t xml:space="preserve">This </w:t>
      </w:r>
      <w:r w:rsidR="00213A14">
        <w:rPr>
          <w:szCs w:val="24"/>
        </w:rPr>
        <w:t>document</w:t>
      </w:r>
      <w:r w:rsidRPr="003C282F">
        <w:rPr>
          <w:szCs w:val="24"/>
        </w:rPr>
        <w:t xml:space="preserve"> demonstrates that </w:t>
      </w:r>
      <w:r w:rsidR="00A17B8E">
        <w:rPr>
          <w:szCs w:val="24"/>
        </w:rPr>
        <w:t>the emissions reduction from GVIP in Boles Township can be replaced with equivalent</w:t>
      </w:r>
      <w:r w:rsidR="00516695">
        <w:rPr>
          <w:szCs w:val="24"/>
        </w:rPr>
        <w:t xml:space="preserve">, </w:t>
      </w:r>
      <w:r w:rsidRPr="003C282F">
        <w:rPr>
          <w:szCs w:val="24"/>
        </w:rPr>
        <w:t xml:space="preserve">current and permanent emission reductions in the 2015 ozone nonattainment area. The equivalent reductions </w:t>
      </w:r>
      <w:r w:rsidR="00516695">
        <w:rPr>
          <w:szCs w:val="24"/>
        </w:rPr>
        <w:t>are</w:t>
      </w:r>
      <w:r w:rsidR="00516695" w:rsidRPr="003C282F">
        <w:rPr>
          <w:szCs w:val="24"/>
        </w:rPr>
        <w:t xml:space="preserve"> </w:t>
      </w:r>
      <w:r w:rsidRPr="003C282F">
        <w:rPr>
          <w:szCs w:val="24"/>
        </w:rPr>
        <w:t xml:space="preserve">actual emissions reductions </w:t>
      </w:r>
      <w:r w:rsidR="00516695">
        <w:rPr>
          <w:szCs w:val="24"/>
        </w:rPr>
        <w:t xml:space="preserve">that have been </w:t>
      </w:r>
      <w:r w:rsidRPr="003C282F">
        <w:rPr>
          <w:szCs w:val="24"/>
        </w:rPr>
        <w:t xml:space="preserve">achieved in </w:t>
      </w:r>
      <w:r w:rsidR="00516695">
        <w:rPr>
          <w:szCs w:val="24"/>
        </w:rPr>
        <w:t xml:space="preserve">the </w:t>
      </w:r>
      <w:r w:rsidRPr="003C282F">
        <w:rPr>
          <w:szCs w:val="24"/>
        </w:rPr>
        <w:t xml:space="preserve">time frame </w:t>
      </w:r>
      <w:r w:rsidR="00516695">
        <w:rPr>
          <w:szCs w:val="24"/>
        </w:rPr>
        <w:t xml:space="preserve">contemporaneous to </w:t>
      </w:r>
      <w:r w:rsidRPr="003C282F">
        <w:rPr>
          <w:szCs w:val="24"/>
        </w:rPr>
        <w:t xml:space="preserve">the </w:t>
      </w:r>
      <w:r w:rsidR="00516695">
        <w:rPr>
          <w:szCs w:val="24"/>
        </w:rPr>
        <w:t>removal of GVIP in Boles Township and</w:t>
      </w:r>
      <w:r w:rsidRPr="003C282F">
        <w:rPr>
          <w:szCs w:val="24"/>
        </w:rPr>
        <w:t xml:space="preserve"> </w:t>
      </w:r>
      <w:r w:rsidR="00CE5AE7">
        <w:rPr>
          <w:szCs w:val="24"/>
        </w:rPr>
        <w:t xml:space="preserve">will counterbalance </w:t>
      </w:r>
      <w:r w:rsidRPr="003C282F">
        <w:rPr>
          <w:szCs w:val="24"/>
        </w:rPr>
        <w:t>emission</w:t>
      </w:r>
      <w:r w:rsidR="00CE5AE7">
        <w:rPr>
          <w:szCs w:val="24"/>
        </w:rPr>
        <w:t>s due to the removal of GVIP in Boles Township</w:t>
      </w:r>
      <w:r w:rsidRPr="003C282F">
        <w:rPr>
          <w:szCs w:val="24"/>
        </w:rPr>
        <w:t xml:space="preserve">. </w:t>
      </w:r>
      <w:r w:rsidR="00CE5AE7">
        <w:rPr>
          <w:szCs w:val="24"/>
        </w:rPr>
        <w:t>T</w:t>
      </w:r>
      <w:r w:rsidRPr="003C282F">
        <w:rPr>
          <w:szCs w:val="24"/>
        </w:rPr>
        <w:t>he</w:t>
      </w:r>
      <w:r w:rsidR="00CE5AE7">
        <w:rPr>
          <w:szCs w:val="24"/>
        </w:rPr>
        <w:t>se</w:t>
      </w:r>
      <w:r w:rsidRPr="003C282F">
        <w:rPr>
          <w:szCs w:val="24"/>
        </w:rPr>
        <w:t xml:space="preserve"> equivalent emissions reductions </w:t>
      </w:r>
      <w:r w:rsidR="00A17B8E">
        <w:rPr>
          <w:szCs w:val="24"/>
        </w:rPr>
        <w:t>are also</w:t>
      </w:r>
      <w:r w:rsidRPr="003C282F">
        <w:rPr>
          <w:szCs w:val="24"/>
        </w:rPr>
        <w:t xml:space="preserve"> permanent, enforceable, quantifiable, and surplus.</w:t>
      </w:r>
    </w:p>
    <w:p w14:paraId="172D491D" w14:textId="77777777" w:rsidR="0088212D" w:rsidRPr="00356C7F" w:rsidRDefault="0088212D">
      <w:pPr>
        <w:pStyle w:val="Heading2"/>
        <w:numPr>
          <w:ilvl w:val="0"/>
          <w:numId w:val="0"/>
        </w:numPr>
        <w:spacing w:before="0"/>
        <w:rPr>
          <w:sz w:val="24"/>
          <w:szCs w:val="24"/>
        </w:rPr>
      </w:pPr>
    </w:p>
    <w:p w14:paraId="54E4ABAE" w14:textId="6A30E6BD" w:rsidR="00D13710" w:rsidRPr="006E7D7E" w:rsidRDefault="00D13710">
      <w:pPr>
        <w:pStyle w:val="Heading2"/>
        <w:numPr>
          <w:ilvl w:val="0"/>
          <w:numId w:val="0"/>
        </w:numPr>
        <w:spacing w:before="0"/>
        <w:rPr>
          <w:b w:val="0"/>
          <w:bCs/>
          <w:i w:val="0"/>
          <w:sz w:val="24"/>
          <w:szCs w:val="24"/>
          <w:u w:val="single"/>
        </w:rPr>
      </w:pPr>
      <w:r w:rsidRPr="006E7D7E">
        <w:rPr>
          <w:b w:val="0"/>
          <w:bCs/>
          <w:i w:val="0"/>
          <w:sz w:val="24"/>
          <w:szCs w:val="24"/>
          <w:u w:val="single"/>
        </w:rPr>
        <w:t>GVIP in Boles Township</w:t>
      </w:r>
    </w:p>
    <w:p w14:paraId="1A243489" w14:textId="007F0551" w:rsidR="00765DB6" w:rsidRPr="003C282F" w:rsidRDefault="00765DB6">
      <w:pPr>
        <w:spacing w:after="0"/>
        <w:rPr>
          <w:szCs w:val="24"/>
        </w:rPr>
      </w:pPr>
      <w:r w:rsidRPr="003C282F">
        <w:rPr>
          <w:szCs w:val="24"/>
        </w:rPr>
        <w:t xml:space="preserve">The 2019 </w:t>
      </w:r>
      <w:r w:rsidR="00B81C80">
        <w:rPr>
          <w:szCs w:val="24"/>
        </w:rPr>
        <w:t>I/M Plan R</w:t>
      </w:r>
      <w:r w:rsidRPr="003C282F">
        <w:rPr>
          <w:szCs w:val="24"/>
        </w:rPr>
        <w:t>evision</w:t>
      </w:r>
      <w:r w:rsidR="00CE5AE7">
        <w:rPr>
          <w:szCs w:val="24"/>
        </w:rPr>
        <w:t xml:space="preserve"> included a demonstration </w:t>
      </w:r>
      <w:r w:rsidR="00A138C3">
        <w:rPr>
          <w:szCs w:val="24"/>
        </w:rPr>
        <w:t xml:space="preserve">that showed that the removal of GVIP does not interfere with </w:t>
      </w:r>
      <w:r w:rsidR="00A138C3" w:rsidRPr="00356C7F">
        <w:rPr>
          <w:szCs w:val="24"/>
        </w:rPr>
        <w:t xml:space="preserve">attainment </w:t>
      </w:r>
      <w:r w:rsidR="00A138C3">
        <w:rPr>
          <w:szCs w:val="24"/>
        </w:rPr>
        <w:t>or maintenance of</w:t>
      </w:r>
      <w:r w:rsidR="00A138C3" w:rsidRPr="00356C7F">
        <w:rPr>
          <w:szCs w:val="24"/>
        </w:rPr>
        <w:t xml:space="preserve"> any NAAQS, including the 2015 ozone standard</w:t>
      </w:r>
      <w:r w:rsidR="00A138C3">
        <w:rPr>
          <w:szCs w:val="24"/>
        </w:rPr>
        <w:t xml:space="preserve">. The </w:t>
      </w:r>
      <w:r w:rsidR="00461AB4">
        <w:rPr>
          <w:szCs w:val="24"/>
        </w:rPr>
        <w:t>plan</w:t>
      </w:r>
      <w:r w:rsidR="00A138C3">
        <w:rPr>
          <w:szCs w:val="24"/>
        </w:rPr>
        <w:t xml:space="preserve"> </w:t>
      </w:r>
      <w:r w:rsidRPr="003C282F">
        <w:rPr>
          <w:szCs w:val="24"/>
        </w:rPr>
        <w:t>remov</w:t>
      </w:r>
      <w:r w:rsidR="00A138C3">
        <w:rPr>
          <w:szCs w:val="24"/>
        </w:rPr>
        <w:t>ed</w:t>
      </w:r>
      <w:r w:rsidRPr="003C282F">
        <w:rPr>
          <w:szCs w:val="24"/>
        </w:rPr>
        <w:t xml:space="preserve"> GVIP requirements from the SIP </w:t>
      </w:r>
      <w:r w:rsidRPr="00356C7F">
        <w:rPr>
          <w:szCs w:val="24"/>
        </w:rPr>
        <w:t>for</w:t>
      </w:r>
      <w:r w:rsidRPr="003C282F">
        <w:rPr>
          <w:szCs w:val="24"/>
        </w:rPr>
        <w:t xml:space="preserve"> Franklin and Jefferson counties </w:t>
      </w:r>
      <w:r w:rsidR="00461AB4">
        <w:rPr>
          <w:szCs w:val="24"/>
        </w:rPr>
        <w:t xml:space="preserve">and </w:t>
      </w:r>
      <w:r w:rsidRPr="003C282F">
        <w:rPr>
          <w:szCs w:val="24"/>
        </w:rPr>
        <w:t>quantifi</w:t>
      </w:r>
      <w:r w:rsidR="00EF609C" w:rsidRPr="00356C7F">
        <w:rPr>
          <w:szCs w:val="24"/>
        </w:rPr>
        <w:t>ed</w:t>
      </w:r>
      <w:r w:rsidRPr="003C282F">
        <w:rPr>
          <w:szCs w:val="24"/>
        </w:rPr>
        <w:t xml:space="preserve"> the emissions </w:t>
      </w:r>
      <w:r w:rsidR="00CE5AE7">
        <w:rPr>
          <w:szCs w:val="24"/>
        </w:rPr>
        <w:t>attributed to</w:t>
      </w:r>
      <w:r w:rsidRPr="003C282F">
        <w:rPr>
          <w:szCs w:val="24"/>
        </w:rPr>
        <w:t xml:space="preserve"> GVIP in both counties</w:t>
      </w:r>
      <w:r w:rsidRPr="00356C7F">
        <w:rPr>
          <w:szCs w:val="24"/>
        </w:rPr>
        <w:t xml:space="preserve"> in their entiret</w:t>
      </w:r>
      <w:r w:rsidR="00461AB4">
        <w:rPr>
          <w:szCs w:val="24"/>
        </w:rPr>
        <w:t>ies</w:t>
      </w:r>
      <w:r w:rsidRPr="003C282F">
        <w:rPr>
          <w:szCs w:val="24"/>
        </w:rPr>
        <w:t>. The demonstration showed that fleet turnover ensure</w:t>
      </w:r>
      <w:r w:rsidR="00EF609C" w:rsidRPr="00356C7F">
        <w:rPr>
          <w:szCs w:val="24"/>
        </w:rPr>
        <w:t>s</w:t>
      </w:r>
      <w:r w:rsidRPr="003C282F">
        <w:rPr>
          <w:szCs w:val="24"/>
        </w:rPr>
        <w:t xml:space="preserve"> that emissions in these counties w</w:t>
      </w:r>
      <w:r w:rsidR="00EF609C" w:rsidRPr="00356C7F">
        <w:rPr>
          <w:szCs w:val="24"/>
        </w:rPr>
        <w:t>ill</w:t>
      </w:r>
      <w:r w:rsidRPr="003C282F">
        <w:rPr>
          <w:szCs w:val="24"/>
        </w:rPr>
        <w:t xml:space="preserve"> continue declining even without GVIP. Fleet turnover is the process in which newer vehicles that meet the latest EPA emission standards</w:t>
      </w:r>
      <w:r w:rsidR="00EF609C" w:rsidRPr="00356C7F">
        <w:rPr>
          <w:szCs w:val="24"/>
        </w:rPr>
        <w:t xml:space="preserve"> replace older and higher-polluting vehicles that have reached the end of their useful lives</w:t>
      </w:r>
      <w:r w:rsidRPr="003C282F">
        <w:rPr>
          <w:szCs w:val="24"/>
        </w:rPr>
        <w:t xml:space="preserve">. </w:t>
      </w:r>
      <w:r w:rsidR="00A138C3">
        <w:rPr>
          <w:szCs w:val="24"/>
        </w:rPr>
        <w:t>The</w:t>
      </w:r>
      <w:r w:rsidRPr="003C282F">
        <w:rPr>
          <w:szCs w:val="24"/>
        </w:rPr>
        <w:t xml:space="preserve"> demonstration clearly showed the continued expected decline of regional motor vehicle emissions in these two counties absent the GVIP requirement</w:t>
      </w:r>
      <w:r w:rsidR="00902575">
        <w:rPr>
          <w:szCs w:val="24"/>
        </w:rPr>
        <w:t>s</w:t>
      </w:r>
      <w:r w:rsidR="00620138">
        <w:rPr>
          <w:szCs w:val="24"/>
        </w:rPr>
        <w:t xml:space="preserve">, and </w:t>
      </w:r>
      <w:r w:rsidR="00620138" w:rsidRPr="003C282F">
        <w:rPr>
          <w:szCs w:val="24"/>
        </w:rPr>
        <w:t>a</w:t>
      </w:r>
      <w:r w:rsidR="00620138">
        <w:rPr>
          <w:szCs w:val="24"/>
        </w:rPr>
        <w:t xml:space="preserve"> separate </w:t>
      </w:r>
      <w:r w:rsidR="00620138" w:rsidRPr="003C282F">
        <w:rPr>
          <w:szCs w:val="24"/>
        </w:rPr>
        <w:t xml:space="preserve">evaluation was included </w:t>
      </w:r>
      <w:r w:rsidR="00620138">
        <w:rPr>
          <w:szCs w:val="24"/>
        </w:rPr>
        <w:t xml:space="preserve">specifically </w:t>
      </w:r>
      <w:r w:rsidR="00620138" w:rsidRPr="003C282F">
        <w:rPr>
          <w:szCs w:val="24"/>
        </w:rPr>
        <w:t>for Boles Township because it is included in the 2015 ozone St. Louis nonattainment area</w:t>
      </w:r>
      <w:r w:rsidR="00902575">
        <w:rPr>
          <w:szCs w:val="24"/>
        </w:rPr>
        <w:t xml:space="preserve">. The full demonstration for the removal of Franklin and Jefferson counties </w:t>
      </w:r>
      <w:r w:rsidR="00B81C80">
        <w:rPr>
          <w:szCs w:val="24"/>
        </w:rPr>
        <w:t>is available</w:t>
      </w:r>
      <w:r w:rsidR="00902575">
        <w:rPr>
          <w:szCs w:val="24"/>
        </w:rPr>
        <w:t xml:space="preserve"> in the 2019</w:t>
      </w:r>
      <w:r w:rsidR="00B81C80">
        <w:rPr>
          <w:szCs w:val="24"/>
        </w:rPr>
        <w:t xml:space="preserve"> I/M Plan Revision</w:t>
      </w:r>
      <w:r w:rsidRPr="003C282F">
        <w:rPr>
          <w:szCs w:val="24"/>
        </w:rPr>
        <w:t>.</w:t>
      </w:r>
      <w:r w:rsidR="00902575">
        <w:rPr>
          <w:szCs w:val="24"/>
        </w:rPr>
        <w:t xml:space="preserve"> For this document, the air program is focus</w:t>
      </w:r>
      <w:r w:rsidR="00B81C80">
        <w:rPr>
          <w:szCs w:val="24"/>
        </w:rPr>
        <w:t>ing</w:t>
      </w:r>
      <w:r w:rsidR="00902575">
        <w:rPr>
          <w:szCs w:val="24"/>
        </w:rPr>
        <w:t xml:space="preserve"> on supporting</w:t>
      </w:r>
      <w:r w:rsidR="00902575" w:rsidRPr="00356C7F">
        <w:rPr>
          <w:szCs w:val="24"/>
        </w:rPr>
        <w:t xml:space="preserve"> the removal of Boles Township from GVIP requirements by demonstrating that contemporaneous emission reductions have occurred in the 2015 ozone St. Louis nonattainment area</w:t>
      </w:r>
      <w:r w:rsidR="00620138">
        <w:rPr>
          <w:szCs w:val="24"/>
        </w:rPr>
        <w:t>.</w:t>
      </w:r>
    </w:p>
    <w:p w14:paraId="7A0020F7" w14:textId="77777777" w:rsidR="00765DB6" w:rsidRPr="003C282F" w:rsidRDefault="00765DB6">
      <w:pPr>
        <w:spacing w:after="0"/>
        <w:rPr>
          <w:szCs w:val="24"/>
        </w:rPr>
      </w:pPr>
    </w:p>
    <w:p w14:paraId="628B077C" w14:textId="05E59903" w:rsidR="004D1B79" w:rsidRDefault="00D54A0E">
      <w:pPr>
        <w:spacing w:after="0"/>
        <w:rPr>
          <w:szCs w:val="24"/>
        </w:rPr>
      </w:pPr>
      <w:r>
        <w:rPr>
          <w:szCs w:val="24"/>
        </w:rPr>
        <w:t>Using</w:t>
      </w:r>
      <w:r w:rsidR="00902575" w:rsidRPr="003C282F">
        <w:rPr>
          <w:szCs w:val="24"/>
        </w:rPr>
        <w:t xml:space="preserve"> </w:t>
      </w:r>
      <w:r w:rsidR="00765DB6" w:rsidRPr="003C282F">
        <w:rPr>
          <w:szCs w:val="24"/>
        </w:rPr>
        <w:t xml:space="preserve">the annual emission figures in the 2019 </w:t>
      </w:r>
      <w:r w:rsidR="00B81C80">
        <w:rPr>
          <w:szCs w:val="24"/>
        </w:rPr>
        <w:t>I/M Plan R</w:t>
      </w:r>
      <w:r w:rsidR="00765DB6" w:rsidRPr="003C282F">
        <w:rPr>
          <w:szCs w:val="24"/>
        </w:rPr>
        <w:t xml:space="preserve">evision, </w:t>
      </w:r>
      <w:r w:rsidR="00E12A2F" w:rsidRPr="00356C7F">
        <w:rPr>
          <w:szCs w:val="24"/>
        </w:rPr>
        <w:t xml:space="preserve">the air program projected </w:t>
      </w:r>
      <w:r w:rsidR="00765DB6" w:rsidRPr="003C282F">
        <w:rPr>
          <w:szCs w:val="24"/>
        </w:rPr>
        <w:t>county level emission</w:t>
      </w:r>
      <w:r w:rsidR="00E12A2F" w:rsidRPr="00356C7F">
        <w:rPr>
          <w:szCs w:val="24"/>
        </w:rPr>
        <w:t>s</w:t>
      </w:r>
      <w:r w:rsidR="00765DB6" w:rsidRPr="003C282F">
        <w:rPr>
          <w:szCs w:val="24"/>
        </w:rPr>
        <w:t>.</w:t>
      </w:r>
      <w:r w:rsidR="00902575">
        <w:rPr>
          <w:szCs w:val="24"/>
        </w:rPr>
        <w:t xml:space="preserve"> For this document, the air program focuse</w:t>
      </w:r>
      <w:r>
        <w:rPr>
          <w:szCs w:val="24"/>
        </w:rPr>
        <w:t>s</w:t>
      </w:r>
      <w:r w:rsidR="00902575">
        <w:rPr>
          <w:szCs w:val="24"/>
        </w:rPr>
        <w:t xml:space="preserve"> </w:t>
      </w:r>
      <w:r>
        <w:rPr>
          <w:szCs w:val="24"/>
        </w:rPr>
        <w:t xml:space="preserve">only </w:t>
      </w:r>
      <w:r w:rsidR="00902575">
        <w:rPr>
          <w:szCs w:val="24"/>
        </w:rPr>
        <w:t xml:space="preserve">on </w:t>
      </w:r>
      <w:r w:rsidR="00620138">
        <w:rPr>
          <w:szCs w:val="24"/>
        </w:rPr>
        <w:t>Boles Township</w:t>
      </w:r>
      <w:r>
        <w:rPr>
          <w:szCs w:val="24"/>
        </w:rPr>
        <w:t>.</w:t>
      </w:r>
      <w:r w:rsidR="00765DB6" w:rsidRPr="003C282F">
        <w:rPr>
          <w:szCs w:val="24"/>
        </w:rPr>
        <w:t xml:space="preserve"> </w:t>
      </w:r>
      <w:r w:rsidR="00E12A2F" w:rsidRPr="00356C7F">
        <w:rPr>
          <w:szCs w:val="24"/>
        </w:rPr>
        <w:t>T</w:t>
      </w:r>
      <w:r w:rsidR="00765DB6" w:rsidRPr="003C282F">
        <w:rPr>
          <w:szCs w:val="24"/>
        </w:rPr>
        <w:t xml:space="preserve">he annual </w:t>
      </w:r>
      <w:r w:rsidR="00461AB4">
        <w:rPr>
          <w:szCs w:val="24"/>
        </w:rPr>
        <w:t xml:space="preserve">modeled </w:t>
      </w:r>
      <w:r w:rsidR="00765DB6" w:rsidRPr="003C282F">
        <w:rPr>
          <w:szCs w:val="24"/>
        </w:rPr>
        <w:t xml:space="preserve">emission </w:t>
      </w:r>
      <w:r w:rsidR="00A138C3">
        <w:rPr>
          <w:szCs w:val="24"/>
        </w:rPr>
        <w:t>attributed to</w:t>
      </w:r>
      <w:r w:rsidR="00765DB6" w:rsidRPr="003C282F">
        <w:rPr>
          <w:szCs w:val="24"/>
        </w:rPr>
        <w:t xml:space="preserve"> GVIP in 2020 for Franklin County is 60.68 tons/year of NO</w:t>
      </w:r>
      <w:r w:rsidR="00765DB6" w:rsidRPr="003C282F">
        <w:rPr>
          <w:szCs w:val="24"/>
          <w:vertAlign w:val="subscript"/>
        </w:rPr>
        <w:t>x</w:t>
      </w:r>
      <w:r w:rsidR="00E12A2F" w:rsidRPr="00356C7F">
        <w:rPr>
          <w:szCs w:val="24"/>
        </w:rPr>
        <w:t xml:space="preserve"> and 48.52 tons/year of </w:t>
      </w:r>
      <w:r>
        <w:rPr>
          <w:szCs w:val="24"/>
        </w:rPr>
        <w:t>Volatile Organic Compounds (</w:t>
      </w:r>
      <w:r w:rsidR="00E12A2F" w:rsidRPr="00356C7F">
        <w:rPr>
          <w:szCs w:val="24"/>
        </w:rPr>
        <w:t>VOC</w:t>
      </w:r>
      <w:r>
        <w:rPr>
          <w:szCs w:val="24"/>
        </w:rPr>
        <w:t>)</w:t>
      </w:r>
      <w:r w:rsidR="00E12A2F" w:rsidRPr="00356C7F">
        <w:rPr>
          <w:szCs w:val="24"/>
        </w:rPr>
        <w:t>.</w:t>
      </w:r>
      <w:r w:rsidR="00765DB6" w:rsidRPr="003C282F">
        <w:rPr>
          <w:szCs w:val="24"/>
        </w:rPr>
        <w:t xml:space="preserve"> </w:t>
      </w:r>
      <w:r w:rsidR="00E12A2F" w:rsidRPr="00356C7F">
        <w:rPr>
          <w:szCs w:val="24"/>
        </w:rPr>
        <w:t xml:space="preserve">The annual emissions </w:t>
      </w:r>
      <w:r w:rsidR="00A138C3">
        <w:rPr>
          <w:szCs w:val="24"/>
        </w:rPr>
        <w:t>attributed to</w:t>
      </w:r>
      <w:r w:rsidR="00E12A2F" w:rsidRPr="00356C7F">
        <w:rPr>
          <w:szCs w:val="24"/>
        </w:rPr>
        <w:t xml:space="preserve"> GVIP in Boles Township is calculated by taking the annual </w:t>
      </w:r>
      <w:r w:rsidR="00902575">
        <w:rPr>
          <w:szCs w:val="24"/>
        </w:rPr>
        <w:t xml:space="preserve">modeled </w:t>
      </w:r>
      <w:r w:rsidR="00A138C3">
        <w:rPr>
          <w:szCs w:val="24"/>
        </w:rPr>
        <w:t>emissions</w:t>
      </w:r>
      <w:r w:rsidR="00A138C3" w:rsidRPr="00356C7F">
        <w:rPr>
          <w:szCs w:val="24"/>
        </w:rPr>
        <w:t xml:space="preserve"> </w:t>
      </w:r>
      <w:r w:rsidR="00E12A2F" w:rsidRPr="00356C7F">
        <w:rPr>
          <w:szCs w:val="24"/>
        </w:rPr>
        <w:t>in Franklin County and multiplying it by 20 percent</w:t>
      </w:r>
      <w:r w:rsidR="00461AB4">
        <w:rPr>
          <w:szCs w:val="24"/>
        </w:rPr>
        <w:t xml:space="preserve">. </w:t>
      </w:r>
      <w:r w:rsidR="00E12A2F" w:rsidRPr="00356C7F">
        <w:rPr>
          <w:szCs w:val="24"/>
        </w:rPr>
        <w:t>According to 2010 Census data, Boles Township comprises 18 percent of Franklin County’s population</w:t>
      </w:r>
      <w:r w:rsidR="004D1B79">
        <w:rPr>
          <w:szCs w:val="24"/>
        </w:rPr>
        <w:t>. M</w:t>
      </w:r>
      <w:r w:rsidR="00461AB4">
        <w:rPr>
          <w:szCs w:val="24"/>
        </w:rPr>
        <w:t xml:space="preserve">ultiplying </w:t>
      </w:r>
      <w:r w:rsidR="004D1B79">
        <w:rPr>
          <w:szCs w:val="24"/>
        </w:rPr>
        <w:t>Franklin C</w:t>
      </w:r>
      <w:r w:rsidR="00461AB4">
        <w:rPr>
          <w:szCs w:val="24"/>
        </w:rPr>
        <w:t>ounty</w:t>
      </w:r>
      <w:r w:rsidR="004D1B79">
        <w:rPr>
          <w:szCs w:val="24"/>
        </w:rPr>
        <w:t>’s</w:t>
      </w:r>
      <w:r w:rsidR="00461AB4">
        <w:rPr>
          <w:szCs w:val="24"/>
        </w:rPr>
        <w:t xml:space="preserve"> value by the 20% </w:t>
      </w:r>
      <w:r w:rsidR="004D1B79">
        <w:rPr>
          <w:szCs w:val="24"/>
        </w:rPr>
        <w:t>r</w:t>
      </w:r>
      <w:r w:rsidR="00461AB4">
        <w:rPr>
          <w:szCs w:val="24"/>
        </w:rPr>
        <w:t>epresent</w:t>
      </w:r>
      <w:r w:rsidR="004D1B79">
        <w:rPr>
          <w:szCs w:val="24"/>
        </w:rPr>
        <w:t>s</w:t>
      </w:r>
      <w:r w:rsidR="00461AB4">
        <w:rPr>
          <w:szCs w:val="24"/>
        </w:rPr>
        <w:t xml:space="preserve"> Boles Township</w:t>
      </w:r>
      <w:r w:rsidR="004D1B79">
        <w:rPr>
          <w:szCs w:val="24"/>
        </w:rPr>
        <w:t>’s portion of the county’s emission</w:t>
      </w:r>
      <w:r w:rsidR="00D90C22">
        <w:rPr>
          <w:szCs w:val="24"/>
        </w:rPr>
        <w:t>s.  T</w:t>
      </w:r>
      <w:r w:rsidR="004D1B79">
        <w:rPr>
          <w:szCs w:val="24"/>
        </w:rPr>
        <w:t>he a</w:t>
      </w:r>
      <w:r w:rsidR="00765DB6" w:rsidRPr="003C282F">
        <w:rPr>
          <w:szCs w:val="24"/>
        </w:rPr>
        <w:t>nnual emission</w:t>
      </w:r>
      <w:r>
        <w:rPr>
          <w:szCs w:val="24"/>
        </w:rPr>
        <w:t>s</w:t>
      </w:r>
      <w:r w:rsidR="00765DB6" w:rsidRPr="003C282F">
        <w:rPr>
          <w:szCs w:val="24"/>
        </w:rPr>
        <w:t xml:space="preserve"> </w:t>
      </w:r>
      <w:r w:rsidR="004D1B79">
        <w:rPr>
          <w:szCs w:val="24"/>
        </w:rPr>
        <w:t>attributable to</w:t>
      </w:r>
      <w:r w:rsidR="00765DB6" w:rsidRPr="003C282F">
        <w:rPr>
          <w:szCs w:val="24"/>
        </w:rPr>
        <w:t xml:space="preserve"> GVIP in Boles Township </w:t>
      </w:r>
      <w:r w:rsidR="004D1B79">
        <w:rPr>
          <w:szCs w:val="24"/>
        </w:rPr>
        <w:t>is</w:t>
      </w:r>
      <w:r w:rsidR="004D1B79" w:rsidRPr="003C282F">
        <w:rPr>
          <w:szCs w:val="24"/>
        </w:rPr>
        <w:t xml:space="preserve"> </w:t>
      </w:r>
      <w:r w:rsidR="00765DB6" w:rsidRPr="003C282F">
        <w:rPr>
          <w:szCs w:val="24"/>
        </w:rPr>
        <w:t>12.14 tons/year of NO</w:t>
      </w:r>
      <w:r w:rsidR="00765DB6" w:rsidRPr="003C282F">
        <w:rPr>
          <w:szCs w:val="24"/>
          <w:vertAlign w:val="subscript"/>
        </w:rPr>
        <w:t>x</w:t>
      </w:r>
      <w:r w:rsidR="00765DB6" w:rsidRPr="003C282F">
        <w:rPr>
          <w:szCs w:val="24"/>
        </w:rPr>
        <w:t xml:space="preserve"> and 9.70 tons/year of VOC.</w:t>
      </w:r>
      <w:r w:rsidR="00461AB4" w:rsidRPr="003C282F">
        <w:rPr>
          <w:szCs w:val="24"/>
        </w:rPr>
        <w:t xml:space="preserve"> </w:t>
      </w:r>
    </w:p>
    <w:p w14:paraId="4488B5B8" w14:textId="77777777" w:rsidR="004D1B79" w:rsidRDefault="004D1B79">
      <w:pPr>
        <w:spacing w:after="0"/>
        <w:rPr>
          <w:szCs w:val="24"/>
        </w:rPr>
      </w:pPr>
    </w:p>
    <w:p w14:paraId="37BEB086" w14:textId="761B233D" w:rsidR="00765DB6" w:rsidRPr="003C282F" w:rsidRDefault="004D1B79">
      <w:pPr>
        <w:spacing w:after="0"/>
        <w:rPr>
          <w:szCs w:val="24"/>
        </w:rPr>
      </w:pPr>
      <w:r w:rsidRPr="00356C7F">
        <w:rPr>
          <w:szCs w:val="24"/>
        </w:rPr>
        <w:t>For</w:t>
      </w:r>
      <w:r w:rsidRPr="003C282F">
        <w:rPr>
          <w:szCs w:val="24"/>
        </w:rPr>
        <w:t xml:space="preserve"> this demonstration, the air program is </w:t>
      </w:r>
      <w:r w:rsidRPr="00356C7F">
        <w:rPr>
          <w:szCs w:val="24"/>
        </w:rPr>
        <w:t>substituting</w:t>
      </w:r>
      <w:r w:rsidRPr="003C282F">
        <w:rPr>
          <w:szCs w:val="24"/>
        </w:rPr>
        <w:t xml:space="preserve"> NO</w:t>
      </w:r>
      <w:r w:rsidRPr="003C282F">
        <w:rPr>
          <w:szCs w:val="24"/>
          <w:vertAlign w:val="subscript"/>
        </w:rPr>
        <w:t>x</w:t>
      </w:r>
      <w:r w:rsidRPr="003C282F">
        <w:rPr>
          <w:szCs w:val="24"/>
        </w:rPr>
        <w:t xml:space="preserve"> emission</w:t>
      </w:r>
      <w:r w:rsidRPr="00356C7F">
        <w:rPr>
          <w:szCs w:val="24"/>
        </w:rPr>
        <w:t xml:space="preserve"> reduction</w:t>
      </w:r>
      <w:r w:rsidRPr="003C282F">
        <w:rPr>
          <w:szCs w:val="24"/>
        </w:rPr>
        <w:t xml:space="preserve">s </w:t>
      </w:r>
      <w:r w:rsidRPr="00356C7F">
        <w:rPr>
          <w:szCs w:val="24"/>
        </w:rPr>
        <w:t>for VOC emission reductions at a 1:1 ratio</w:t>
      </w:r>
      <w:r w:rsidRPr="003C282F">
        <w:rPr>
          <w:szCs w:val="24"/>
        </w:rPr>
        <w:t>.</w:t>
      </w:r>
      <w:r w:rsidRPr="00461AB4">
        <w:rPr>
          <w:szCs w:val="24"/>
        </w:rPr>
        <w:t xml:space="preserve"> </w:t>
      </w:r>
      <w:r w:rsidRPr="003C282F">
        <w:rPr>
          <w:szCs w:val="24"/>
        </w:rPr>
        <w:t xml:space="preserve">Adding </w:t>
      </w:r>
      <w:r>
        <w:rPr>
          <w:szCs w:val="24"/>
        </w:rPr>
        <w:t>the a</w:t>
      </w:r>
      <w:r w:rsidRPr="003C282F">
        <w:rPr>
          <w:szCs w:val="24"/>
        </w:rPr>
        <w:t xml:space="preserve">nnual emission </w:t>
      </w:r>
      <w:r>
        <w:rPr>
          <w:szCs w:val="24"/>
        </w:rPr>
        <w:t>attributable to</w:t>
      </w:r>
      <w:r w:rsidRPr="003C282F">
        <w:rPr>
          <w:szCs w:val="24"/>
        </w:rPr>
        <w:t xml:space="preserve"> GVIP in Boles Township </w:t>
      </w:r>
      <w:r>
        <w:rPr>
          <w:szCs w:val="24"/>
        </w:rPr>
        <w:t xml:space="preserve">for </w:t>
      </w:r>
      <w:r w:rsidRPr="003C282F">
        <w:rPr>
          <w:szCs w:val="24"/>
        </w:rPr>
        <w:t>NO</w:t>
      </w:r>
      <w:r w:rsidRPr="003C282F">
        <w:rPr>
          <w:szCs w:val="24"/>
          <w:vertAlign w:val="subscript"/>
        </w:rPr>
        <w:t>x</w:t>
      </w:r>
      <w:r w:rsidRPr="003C282F">
        <w:rPr>
          <w:szCs w:val="24"/>
        </w:rPr>
        <w:t xml:space="preserve"> and VOC equals </w:t>
      </w:r>
      <w:r w:rsidRPr="00737A1C">
        <w:rPr>
          <w:szCs w:val="24"/>
        </w:rPr>
        <w:t>21.84 total tons/year</w:t>
      </w:r>
      <w:r w:rsidRPr="003C282F">
        <w:rPr>
          <w:szCs w:val="24"/>
        </w:rPr>
        <w:t xml:space="preserve">. </w:t>
      </w:r>
    </w:p>
    <w:p w14:paraId="3CEB7007" w14:textId="77777777" w:rsidR="00FC509F" w:rsidRPr="003C282F" w:rsidRDefault="00FC509F">
      <w:pPr>
        <w:spacing w:after="0"/>
        <w:rPr>
          <w:szCs w:val="24"/>
        </w:rPr>
      </w:pPr>
    </w:p>
    <w:p w14:paraId="399FE25D" w14:textId="77777777" w:rsidR="005D37FE" w:rsidRPr="00356C7F" w:rsidRDefault="005D37FE">
      <w:pPr>
        <w:spacing w:after="0"/>
        <w:rPr>
          <w:szCs w:val="24"/>
        </w:rPr>
      </w:pPr>
      <w:r w:rsidRPr="003C282F">
        <w:rPr>
          <w:szCs w:val="24"/>
        </w:rPr>
        <w:lastRenderedPageBreak/>
        <w:t>This substitution ratio of one ton of reduction of NO</w:t>
      </w:r>
      <w:r w:rsidRPr="003C282F">
        <w:rPr>
          <w:szCs w:val="24"/>
          <w:vertAlign w:val="subscript"/>
        </w:rPr>
        <w:t>x</w:t>
      </w:r>
      <w:r w:rsidRPr="003C282F">
        <w:rPr>
          <w:szCs w:val="24"/>
        </w:rPr>
        <w:t xml:space="preserve"> </w:t>
      </w:r>
      <w:r w:rsidRPr="00356C7F">
        <w:rPr>
          <w:szCs w:val="24"/>
        </w:rPr>
        <w:t xml:space="preserve">emissions </w:t>
      </w:r>
      <w:r w:rsidRPr="003C282F">
        <w:rPr>
          <w:szCs w:val="24"/>
        </w:rPr>
        <w:t>for each ton of VOC</w:t>
      </w:r>
      <w:r w:rsidRPr="00356C7F">
        <w:rPr>
          <w:szCs w:val="24"/>
        </w:rPr>
        <w:t xml:space="preserve"> emissions</w:t>
      </w:r>
      <w:r w:rsidRPr="003C282F">
        <w:rPr>
          <w:szCs w:val="24"/>
        </w:rPr>
        <w:t xml:space="preserve"> is protective of air quality in the St. Louis area and consistent with EPA guidance. The St. Louis 8-Hour Ozone Technical Support Document prepared for the 1997 ozone standard (May 31, 2007) includes </w:t>
      </w:r>
      <w:r w:rsidRPr="00356C7F">
        <w:rPr>
          <w:szCs w:val="24"/>
        </w:rPr>
        <w:t xml:space="preserve">a </w:t>
      </w:r>
      <w:r w:rsidRPr="003C282F">
        <w:rPr>
          <w:szCs w:val="24"/>
        </w:rPr>
        <w:t>discussion o</w:t>
      </w:r>
      <w:r w:rsidRPr="00356C7F">
        <w:rPr>
          <w:szCs w:val="24"/>
        </w:rPr>
        <w:t>n</w:t>
      </w:r>
      <w:r w:rsidRPr="003C282F">
        <w:rPr>
          <w:szCs w:val="24"/>
        </w:rPr>
        <w:t xml:space="preserve"> an ozone source apportionment analysis using photochemical modeling in the St. Louis area. The analysis concluded that St. Louis ozone is formed primarily (~80%) under NO</w:t>
      </w:r>
      <w:r w:rsidRPr="003C282F">
        <w:rPr>
          <w:szCs w:val="24"/>
          <w:vertAlign w:val="subscript"/>
        </w:rPr>
        <w:t>x</w:t>
      </w:r>
      <w:r w:rsidRPr="003C282F">
        <w:rPr>
          <w:szCs w:val="24"/>
        </w:rPr>
        <w:t>-limited conditions. Th</w:t>
      </w:r>
      <w:r w:rsidRPr="00356C7F">
        <w:rPr>
          <w:szCs w:val="24"/>
        </w:rPr>
        <w:t>e</w:t>
      </w:r>
      <w:r w:rsidRPr="003C282F">
        <w:rPr>
          <w:szCs w:val="24"/>
        </w:rPr>
        <w:t xml:space="preserve"> photochemical modeling effort showed that NO</w:t>
      </w:r>
      <w:r w:rsidRPr="003C282F">
        <w:rPr>
          <w:szCs w:val="24"/>
          <w:vertAlign w:val="subscript"/>
        </w:rPr>
        <w:t>x</w:t>
      </w:r>
      <w:r w:rsidRPr="003C282F">
        <w:rPr>
          <w:szCs w:val="24"/>
        </w:rPr>
        <w:t xml:space="preserve"> </w:t>
      </w:r>
      <w:r w:rsidRPr="00356C7F">
        <w:rPr>
          <w:szCs w:val="24"/>
        </w:rPr>
        <w:t xml:space="preserve">emission </w:t>
      </w:r>
      <w:r w:rsidRPr="003C282F">
        <w:rPr>
          <w:szCs w:val="24"/>
        </w:rPr>
        <w:t xml:space="preserve">reductions are more effective than VOC </w:t>
      </w:r>
      <w:r w:rsidRPr="00356C7F">
        <w:rPr>
          <w:szCs w:val="24"/>
        </w:rPr>
        <w:t xml:space="preserve">emission </w:t>
      </w:r>
      <w:r w:rsidRPr="003C282F">
        <w:rPr>
          <w:szCs w:val="24"/>
        </w:rPr>
        <w:t>reductions at reducing ozone in the St. Louis area. This provides the technical basis for supporting the approach of substituting NO</w:t>
      </w:r>
      <w:r w:rsidRPr="003C282F">
        <w:rPr>
          <w:szCs w:val="24"/>
          <w:vertAlign w:val="subscript"/>
        </w:rPr>
        <w:t>x</w:t>
      </w:r>
      <w:r w:rsidRPr="003C282F">
        <w:rPr>
          <w:szCs w:val="24"/>
        </w:rPr>
        <w:t xml:space="preserve"> </w:t>
      </w:r>
      <w:r w:rsidRPr="00356C7F">
        <w:rPr>
          <w:szCs w:val="24"/>
        </w:rPr>
        <w:t xml:space="preserve">emission </w:t>
      </w:r>
      <w:r w:rsidRPr="003C282F">
        <w:rPr>
          <w:szCs w:val="24"/>
        </w:rPr>
        <w:t xml:space="preserve">reductions for VOC </w:t>
      </w:r>
      <w:r w:rsidRPr="00356C7F">
        <w:rPr>
          <w:szCs w:val="24"/>
        </w:rPr>
        <w:t xml:space="preserve">emission reductions </w:t>
      </w:r>
      <w:r w:rsidRPr="003C282F">
        <w:rPr>
          <w:szCs w:val="24"/>
        </w:rPr>
        <w:t>in this demonstration.  </w:t>
      </w:r>
    </w:p>
    <w:p w14:paraId="45BBD1DE" w14:textId="77777777" w:rsidR="005D37FE" w:rsidRPr="003C282F" w:rsidRDefault="005D37FE">
      <w:pPr>
        <w:spacing w:after="0"/>
        <w:rPr>
          <w:szCs w:val="24"/>
        </w:rPr>
      </w:pPr>
    </w:p>
    <w:p w14:paraId="516F0172" w14:textId="77777777" w:rsidR="005D37FE" w:rsidRPr="003C282F" w:rsidRDefault="005D37FE">
      <w:pPr>
        <w:spacing w:after="0"/>
        <w:rPr>
          <w:szCs w:val="24"/>
        </w:rPr>
      </w:pPr>
      <w:r w:rsidRPr="003C282F">
        <w:rPr>
          <w:szCs w:val="24"/>
        </w:rPr>
        <w:t>Additionally, EPA’s recent photochemical modeling analyses for generating Modeled Emission Rates for Precursors (MERPs) supports substituting NO</w:t>
      </w:r>
      <w:r w:rsidRPr="003C282F">
        <w:rPr>
          <w:szCs w:val="24"/>
          <w:vertAlign w:val="subscript"/>
        </w:rPr>
        <w:t>x</w:t>
      </w:r>
      <w:r w:rsidRPr="003C282F">
        <w:rPr>
          <w:szCs w:val="24"/>
        </w:rPr>
        <w:t xml:space="preserve"> reductions </w:t>
      </w:r>
      <w:r w:rsidRPr="00356C7F">
        <w:rPr>
          <w:szCs w:val="24"/>
        </w:rPr>
        <w:t xml:space="preserve">for VOC reductions </w:t>
      </w:r>
      <w:r w:rsidRPr="003C282F">
        <w:rPr>
          <w:szCs w:val="24"/>
        </w:rPr>
        <w:t xml:space="preserve">in the St. Louis area. From EPA’s MERPS View </w:t>
      </w:r>
      <w:proofErr w:type="spellStart"/>
      <w:r w:rsidRPr="003C282F">
        <w:rPr>
          <w:szCs w:val="24"/>
        </w:rPr>
        <w:t>Qlik</w:t>
      </w:r>
      <w:proofErr w:type="spellEnd"/>
      <w:r w:rsidRPr="003C282F">
        <w:rPr>
          <w:szCs w:val="24"/>
        </w:rPr>
        <w:t xml:space="preserve"> site (</w:t>
      </w:r>
      <w:hyperlink r:id="rId9" w:history="1">
        <w:r w:rsidRPr="003C282F">
          <w:rPr>
            <w:color w:val="0000FF"/>
            <w:szCs w:val="24"/>
            <w:u w:val="single"/>
          </w:rPr>
          <w:t>https://www.epa.gov/scram/merps-view-qlik</w:t>
        </w:r>
      </w:hyperlink>
      <w:r w:rsidRPr="003C282F">
        <w:rPr>
          <w:szCs w:val="24"/>
        </w:rPr>
        <w:t>), a hypothetical stationary source with 1,000 tons/year NO</w:t>
      </w:r>
      <w:r w:rsidRPr="003C282F">
        <w:rPr>
          <w:szCs w:val="24"/>
          <w:vertAlign w:val="subscript"/>
        </w:rPr>
        <w:t>x</w:t>
      </w:r>
      <w:r w:rsidRPr="003C282F">
        <w:rPr>
          <w:szCs w:val="24"/>
        </w:rPr>
        <w:t xml:space="preserve"> emissions and 500 tons/year VOC emissions from a 10 meter stack (low-level releases) was modeled in St. Charles County. The MERP values established based on this evaluation were 446 tons/year NO</w:t>
      </w:r>
      <w:r w:rsidRPr="003C282F">
        <w:rPr>
          <w:szCs w:val="24"/>
          <w:vertAlign w:val="subscript"/>
        </w:rPr>
        <w:t>x</w:t>
      </w:r>
      <w:r w:rsidRPr="003C282F">
        <w:rPr>
          <w:szCs w:val="24"/>
        </w:rPr>
        <w:t xml:space="preserve"> and 2,037 tons/year VOC. MERPs are the emission rates (in tons per year) of precursor pollutants that would result in a modeled impact equal to a critical air quality threshold (1 ppb for ozone).</w:t>
      </w:r>
      <w:r w:rsidRPr="003C282F">
        <w:rPr>
          <w:szCs w:val="24"/>
          <w:vertAlign w:val="superscript"/>
        </w:rPr>
        <w:footnoteReference w:id="1"/>
      </w:r>
      <w:r w:rsidRPr="003C282F">
        <w:rPr>
          <w:szCs w:val="24"/>
          <w:vertAlign w:val="subscript"/>
        </w:rPr>
        <w:t xml:space="preserve"> </w:t>
      </w:r>
      <w:r w:rsidRPr="003C282F">
        <w:rPr>
          <w:szCs w:val="24"/>
        </w:rPr>
        <w:t>Therefore, the lower NO</w:t>
      </w:r>
      <w:r w:rsidRPr="003C282F">
        <w:rPr>
          <w:szCs w:val="24"/>
          <w:vertAlign w:val="subscript"/>
        </w:rPr>
        <w:t>x</w:t>
      </w:r>
      <w:r w:rsidRPr="003C282F">
        <w:rPr>
          <w:szCs w:val="24"/>
        </w:rPr>
        <w:t xml:space="preserve"> MERP (compared to the VOC MERP) is indicative of NO</w:t>
      </w:r>
      <w:r w:rsidRPr="003C282F">
        <w:rPr>
          <w:szCs w:val="24"/>
          <w:vertAlign w:val="subscript"/>
        </w:rPr>
        <w:t>x</w:t>
      </w:r>
      <w:r w:rsidRPr="003C282F">
        <w:rPr>
          <w:szCs w:val="24"/>
        </w:rPr>
        <w:t>-limited conditions with NO</w:t>
      </w:r>
      <w:r w:rsidRPr="003C282F">
        <w:rPr>
          <w:szCs w:val="24"/>
          <w:vertAlign w:val="subscript"/>
        </w:rPr>
        <w:t>x</w:t>
      </w:r>
      <w:r w:rsidRPr="003C282F">
        <w:rPr>
          <w:szCs w:val="24"/>
        </w:rPr>
        <w:t xml:space="preserve"> emissions being </w:t>
      </w:r>
      <w:r w:rsidRPr="00356C7F">
        <w:rPr>
          <w:szCs w:val="24"/>
        </w:rPr>
        <w:t xml:space="preserve">the </w:t>
      </w:r>
      <w:r w:rsidRPr="003C282F">
        <w:rPr>
          <w:szCs w:val="24"/>
        </w:rPr>
        <w:t xml:space="preserve">more </w:t>
      </w:r>
      <w:r w:rsidRPr="00356C7F">
        <w:rPr>
          <w:szCs w:val="24"/>
        </w:rPr>
        <w:t>prominent</w:t>
      </w:r>
      <w:r w:rsidRPr="003C282F">
        <w:rPr>
          <w:szCs w:val="24"/>
        </w:rPr>
        <w:t xml:space="preserve"> </w:t>
      </w:r>
      <w:r w:rsidRPr="00356C7F">
        <w:rPr>
          <w:szCs w:val="24"/>
        </w:rPr>
        <w:t xml:space="preserve">pollutant </w:t>
      </w:r>
      <w:r w:rsidRPr="003C282F">
        <w:rPr>
          <w:szCs w:val="24"/>
        </w:rPr>
        <w:t xml:space="preserve">for </w:t>
      </w:r>
      <w:r w:rsidRPr="00356C7F">
        <w:rPr>
          <w:szCs w:val="24"/>
        </w:rPr>
        <w:t>the</w:t>
      </w:r>
      <w:r w:rsidRPr="003C282F">
        <w:rPr>
          <w:szCs w:val="24"/>
        </w:rPr>
        <w:t xml:space="preserve"> formation</w:t>
      </w:r>
      <w:r w:rsidRPr="00356C7F">
        <w:rPr>
          <w:szCs w:val="24"/>
        </w:rPr>
        <w:t xml:space="preserve"> of ozone</w:t>
      </w:r>
      <w:r w:rsidRPr="003C282F">
        <w:rPr>
          <w:szCs w:val="24"/>
        </w:rPr>
        <w:t xml:space="preserve"> in the St. Louis area, and demonstrates the conservative nature of substituting NO</w:t>
      </w:r>
      <w:r w:rsidRPr="00356C7F">
        <w:rPr>
          <w:szCs w:val="24"/>
          <w:vertAlign w:val="subscript"/>
        </w:rPr>
        <w:t>x</w:t>
      </w:r>
      <w:r w:rsidRPr="003C282F">
        <w:rPr>
          <w:szCs w:val="24"/>
        </w:rPr>
        <w:t xml:space="preserve"> reductions for VOCs at a</w:t>
      </w:r>
      <w:r w:rsidRPr="00356C7F">
        <w:rPr>
          <w:szCs w:val="24"/>
        </w:rPr>
        <w:t xml:space="preserve"> 1:1</w:t>
      </w:r>
      <w:r w:rsidRPr="003C282F">
        <w:rPr>
          <w:szCs w:val="24"/>
        </w:rPr>
        <w:t xml:space="preserve"> ratio in this demonstration.</w:t>
      </w:r>
    </w:p>
    <w:p w14:paraId="7A819888" w14:textId="77777777" w:rsidR="005D37FE" w:rsidRPr="00356C7F" w:rsidRDefault="005D37FE">
      <w:pPr>
        <w:pStyle w:val="Heading2"/>
        <w:numPr>
          <w:ilvl w:val="0"/>
          <w:numId w:val="0"/>
        </w:numPr>
        <w:spacing w:before="0"/>
        <w:rPr>
          <w:i w:val="0"/>
          <w:sz w:val="24"/>
          <w:szCs w:val="24"/>
          <w:u w:val="single"/>
        </w:rPr>
      </w:pPr>
    </w:p>
    <w:p w14:paraId="235C4192" w14:textId="177CE19E" w:rsidR="00461AB4" w:rsidRPr="003C282F" w:rsidRDefault="00461AB4">
      <w:pPr>
        <w:spacing w:after="0"/>
        <w:rPr>
          <w:szCs w:val="24"/>
        </w:rPr>
      </w:pPr>
      <w:r>
        <w:rPr>
          <w:szCs w:val="24"/>
        </w:rPr>
        <w:t>Therefore, the</w:t>
      </w:r>
      <w:r w:rsidRPr="003C282F">
        <w:rPr>
          <w:szCs w:val="24"/>
        </w:rPr>
        <w:t xml:space="preserve"> amount of current and permanent emission reductions needed within the St. Louis nonattainment area to match the emissions </w:t>
      </w:r>
      <w:r>
        <w:rPr>
          <w:szCs w:val="24"/>
        </w:rPr>
        <w:t>attributed to</w:t>
      </w:r>
      <w:r w:rsidRPr="003C282F">
        <w:rPr>
          <w:szCs w:val="24"/>
        </w:rPr>
        <w:t xml:space="preserve"> GVIP in Boles Township</w:t>
      </w:r>
      <w:r>
        <w:rPr>
          <w:szCs w:val="24"/>
        </w:rPr>
        <w:t xml:space="preserve"> is</w:t>
      </w:r>
      <w:r w:rsidRPr="00461AB4">
        <w:rPr>
          <w:szCs w:val="24"/>
        </w:rPr>
        <w:t xml:space="preserve"> </w:t>
      </w:r>
      <w:r w:rsidRPr="00474417">
        <w:rPr>
          <w:b/>
          <w:bCs/>
          <w:szCs w:val="24"/>
        </w:rPr>
        <w:t>21.84 total tons/year</w:t>
      </w:r>
      <w:r w:rsidRPr="003C282F">
        <w:rPr>
          <w:szCs w:val="24"/>
        </w:rPr>
        <w:t xml:space="preserve">. </w:t>
      </w:r>
    </w:p>
    <w:p w14:paraId="34AAA94E" w14:textId="77777777" w:rsidR="004D184E" w:rsidRPr="00356C7F" w:rsidRDefault="004D184E">
      <w:pPr>
        <w:spacing w:after="0"/>
        <w:rPr>
          <w:szCs w:val="24"/>
        </w:rPr>
      </w:pPr>
    </w:p>
    <w:p w14:paraId="4DA1F347" w14:textId="435D6CF0" w:rsidR="0066168F" w:rsidRPr="006E7D7E" w:rsidRDefault="0068304C">
      <w:pPr>
        <w:pStyle w:val="Heading2"/>
        <w:numPr>
          <w:ilvl w:val="0"/>
          <w:numId w:val="0"/>
        </w:numPr>
        <w:spacing w:before="0"/>
        <w:rPr>
          <w:b w:val="0"/>
          <w:bCs/>
          <w:i w:val="0"/>
          <w:sz w:val="24"/>
          <w:szCs w:val="24"/>
          <w:u w:val="single"/>
        </w:rPr>
      </w:pPr>
      <w:r w:rsidRPr="006E7D7E">
        <w:rPr>
          <w:b w:val="0"/>
          <w:bCs/>
          <w:i w:val="0"/>
          <w:sz w:val="24"/>
          <w:szCs w:val="24"/>
          <w:u w:val="single"/>
        </w:rPr>
        <w:t>2017 Metropolitan Energy Center National DERA Grant (United Parcel Service Heavy-Duty Diesel Truck Replacements)</w:t>
      </w:r>
    </w:p>
    <w:p w14:paraId="5AF0709D" w14:textId="7987DF9F" w:rsidR="00070E62" w:rsidRPr="00356C7F" w:rsidRDefault="00DA4F0C">
      <w:pPr>
        <w:spacing w:after="0"/>
        <w:rPr>
          <w:szCs w:val="24"/>
        </w:rPr>
      </w:pPr>
      <w:r w:rsidRPr="00356C7F">
        <w:rPr>
          <w:szCs w:val="24"/>
        </w:rPr>
        <w:t>T</w:t>
      </w:r>
      <w:r w:rsidR="0068304C" w:rsidRPr="003C282F">
        <w:rPr>
          <w:szCs w:val="24"/>
        </w:rPr>
        <w:t xml:space="preserve">he Metropolitan Energy Center received funding </w:t>
      </w:r>
      <w:r w:rsidRPr="00356C7F">
        <w:rPr>
          <w:szCs w:val="24"/>
        </w:rPr>
        <w:t xml:space="preserve">from the 2017 National Diesel Emission Reduction Act (DERA) Grant </w:t>
      </w:r>
      <w:r w:rsidR="0068304C" w:rsidRPr="003C282F">
        <w:rPr>
          <w:szCs w:val="24"/>
        </w:rPr>
        <w:t xml:space="preserve">to replace five Class 8 trucks operated by United Parcel Service (UPS) in the St. Louis area. </w:t>
      </w:r>
      <w:r w:rsidRPr="00356C7F">
        <w:rPr>
          <w:szCs w:val="24"/>
        </w:rPr>
        <w:t>Under</w:t>
      </w:r>
      <w:r w:rsidR="0068304C" w:rsidRPr="003C282F">
        <w:rPr>
          <w:szCs w:val="24"/>
        </w:rPr>
        <w:t xml:space="preserve"> DERA requirements, when a vehicle replacement project is completed, the vehicle and engine </w:t>
      </w:r>
      <w:r w:rsidR="00542AC8" w:rsidRPr="003C282F">
        <w:rPr>
          <w:szCs w:val="24"/>
        </w:rPr>
        <w:t>are</w:t>
      </w:r>
      <w:r w:rsidR="0068304C" w:rsidRPr="003C282F">
        <w:rPr>
          <w:szCs w:val="24"/>
        </w:rPr>
        <w:t xml:space="preserve"> permanently disabled. The disabling process is </w:t>
      </w:r>
      <w:r w:rsidR="00070E62" w:rsidRPr="00356C7F">
        <w:rPr>
          <w:szCs w:val="24"/>
        </w:rPr>
        <w:t xml:space="preserve">the </w:t>
      </w:r>
      <w:r w:rsidR="00756308" w:rsidRPr="00356C7F">
        <w:rPr>
          <w:szCs w:val="24"/>
        </w:rPr>
        <w:t xml:space="preserve">enforceable mechanism </w:t>
      </w:r>
      <w:r w:rsidR="0068304C" w:rsidRPr="003C282F">
        <w:rPr>
          <w:szCs w:val="24"/>
        </w:rPr>
        <w:t>ensur</w:t>
      </w:r>
      <w:r w:rsidR="00756308" w:rsidRPr="00356C7F">
        <w:rPr>
          <w:szCs w:val="24"/>
        </w:rPr>
        <w:t>ing</w:t>
      </w:r>
      <w:r w:rsidR="0068304C" w:rsidRPr="003C282F">
        <w:rPr>
          <w:szCs w:val="24"/>
        </w:rPr>
        <w:t xml:space="preserve"> the emission reductions are permanent.</w:t>
      </w:r>
      <w:r w:rsidR="00542AC8" w:rsidRPr="003C282F">
        <w:rPr>
          <w:szCs w:val="24"/>
        </w:rPr>
        <w:t xml:space="preserve"> </w:t>
      </w:r>
      <w:r w:rsidRPr="003C282F">
        <w:rPr>
          <w:szCs w:val="24"/>
        </w:rPr>
        <w:t xml:space="preserve">The purchase of the new trucks and the disabling of the older 2005 model year trucks </w:t>
      </w:r>
      <w:r w:rsidRPr="00356C7F">
        <w:rPr>
          <w:szCs w:val="24"/>
        </w:rPr>
        <w:t>will</w:t>
      </w:r>
      <w:r w:rsidRPr="003C282F">
        <w:rPr>
          <w:szCs w:val="24"/>
        </w:rPr>
        <w:t xml:space="preserve"> occur in the fall of 2020, which ensures these emission reductions meet the contemporaneous requirement.</w:t>
      </w:r>
      <w:r w:rsidRPr="00356C7F">
        <w:rPr>
          <w:szCs w:val="24"/>
        </w:rPr>
        <w:t xml:space="preserve"> </w:t>
      </w:r>
      <w:r w:rsidR="00542AC8" w:rsidRPr="003C282F">
        <w:rPr>
          <w:szCs w:val="24"/>
        </w:rPr>
        <w:t xml:space="preserve">These reductions are </w:t>
      </w:r>
      <w:r w:rsidR="00756308" w:rsidRPr="00356C7F">
        <w:rPr>
          <w:szCs w:val="24"/>
        </w:rPr>
        <w:t>surplus,</w:t>
      </w:r>
      <w:r w:rsidR="00542AC8" w:rsidRPr="003C282F">
        <w:rPr>
          <w:szCs w:val="24"/>
        </w:rPr>
        <w:t xml:space="preserve"> as the state has not taken any credit for the emission reductions associated with these truck replacements in any submitted or approved SIP elements. </w:t>
      </w:r>
    </w:p>
    <w:p w14:paraId="6D470D9E" w14:textId="77777777" w:rsidR="00070E62" w:rsidRPr="00356C7F" w:rsidRDefault="00070E62">
      <w:pPr>
        <w:spacing w:after="0"/>
        <w:rPr>
          <w:szCs w:val="24"/>
        </w:rPr>
      </w:pPr>
    </w:p>
    <w:p w14:paraId="2DF31C10" w14:textId="4FE0CE75" w:rsidR="006F322B" w:rsidRPr="003C282F" w:rsidRDefault="00070E62">
      <w:pPr>
        <w:spacing w:after="0"/>
        <w:rPr>
          <w:szCs w:val="24"/>
        </w:rPr>
      </w:pPr>
      <w:r w:rsidRPr="00356C7F">
        <w:rPr>
          <w:szCs w:val="24"/>
        </w:rPr>
        <w:t>T</w:t>
      </w:r>
      <w:r w:rsidR="00814DB2" w:rsidRPr="003C282F">
        <w:rPr>
          <w:szCs w:val="24"/>
        </w:rPr>
        <w:t xml:space="preserve">he </w:t>
      </w:r>
      <w:r w:rsidR="00756308" w:rsidRPr="00356C7F">
        <w:rPr>
          <w:szCs w:val="24"/>
        </w:rPr>
        <w:t>a</w:t>
      </w:r>
      <w:r w:rsidR="00814DB2" w:rsidRPr="003C282F">
        <w:rPr>
          <w:szCs w:val="24"/>
        </w:rPr>
        <w:t xml:space="preserve">ir </w:t>
      </w:r>
      <w:r w:rsidR="00756308" w:rsidRPr="00356C7F">
        <w:rPr>
          <w:szCs w:val="24"/>
        </w:rPr>
        <w:t>p</w:t>
      </w:r>
      <w:r w:rsidR="00814DB2" w:rsidRPr="003C282F">
        <w:rPr>
          <w:szCs w:val="24"/>
        </w:rPr>
        <w:t xml:space="preserve">rogram </w:t>
      </w:r>
      <w:r w:rsidRPr="00356C7F">
        <w:rPr>
          <w:szCs w:val="24"/>
        </w:rPr>
        <w:t>quantified emission reductions from these five DERA truck replacement projects using</w:t>
      </w:r>
      <w:r w:rsidR="00814DB2" w:rsidRPr="003C282F">
        <w:rPr>
          <w:szCs w:val="24"/>
        </w:rPr>
        <w:t xml:space="preserve"> </w:t>
      </w:r>
      <w:r w:rsidR="00756308" w:rsidRPr="00356C7F">
        <w:rPr>
          <w:szCs w:val="24"/>
        </w:rPr>
        <w:t>emission factors derived from the Motor Vehicle Emission Simulator</w:t>
      </w:r>
      <w:r w:rsidR="00814DB2" w:rsidRPr="003C282F">
        <w:rPr>
          <w:szCs w:val="24"/>
        </w:rPr>
        <w:t xml:space="preserve"> </w:t>
      </w:r>
      <w:r w:rsidR="00756308" w:rsidRPr="00356C7F">
        <w:rPr>
          <w:szCs w:val="24"/>
        </w:rPr>
        <w:t>(</w:t>
      </w:r>
      <w:r w:rsidR="00814DB2" w:rsidRPr="003C282F">
        <w:rPr>
          <w:szCs w:val="24"/>
        </w:rPr>
        <w:t>MOVES</w:t>
      </w:r>
      <w:r w:rsidR="00756308" w:rsidRPr="00356C7F">
        <w:rPr>
          <w:szCs w:val="24"/>
        </w:rPr>
        <w:t>)</w:t>
      </w:r>
      <w:r w:rsidR="00814DB2" w:rsidRPr="003C282F">
        <w:rPr>
          <w:szCs w:val="24"/>
        </w:rPr>
        <w:t>.</w:t>
      </w:r>
      <w:r w:rsidRPr="00356C7F">
        <w:rPr>
          <w:szCs w:val="24"/>
        </w:rPr>
        <w:t xml:space="preserve"> </w:t>
      </w:r>
      <w:r w:rsidR="006F322B" w:rsidRPr="003C282F">
        <w:rPr>
          <w:szCs w:val="24"/>
        </w:rPr>
        <w:t xml:space="preserve">The five UPS trucks are all 2005 engine model year Class 8 </w:t>
      </w:r>
      <w:r w:rsidR="007547A9" w:rsidRPr="00356C7F">
        <w:rPr>
          <w:szCs w:val="24"/>
        </w:rPr>
        <w:t>h</w:t>
      </w:r>
      <w:r w:rsidR="006F322B" w:rsidRPr="003C282F">
        <w:rPr>
          <w:szCs w:val="24"/>
        </w:rPr>
        <w:t>eavy</w:t>
      </w:r>
      <w:r w:rsidR="007547A9" w:rsidRPr="00356C7F">
        <w:rPr>
          <w:szCs w:val="24"/>
        </w:rPr>
        <w:t>-d</w:t>
      </w:r>
      <w:r w:rsidR="006F322B" w:rsidRPr="003C282F">
        <w:rPr>
          <w:szCs w:val="24"/>
        </w:rPr>
        <w:t xml:space="preserve">uty </w:t>
      </w:r>
      <w:r w:rsidR="007547A9" w:rsidRPr="00356C7F">
        <w:rPr>
          <w:szCs w:val="24"/>
        </w:rPr>
        <w:t>d</w:t>
      </w:r>
      <w:r w:rsidR="006F322B" w:rsidRPr="003C282F">
        <w:rPr>
          <w:szCs w:val="24"/>
        </w:rPr>
        <w:t xml:space="preserve">iesel </w:t>
      </w:r>
      <w:r w:rsidR="007547A9" w:rsidRPr="00356C7F">
        <w:rPr>
          <w:szCs w:val="24"/>
        </w:rPr>
        <w:t>t</w:t>
      </w:r>
      <w:r w:rsidR="006F322B" w:rsidRPr="003C282F">
        <w:rPr>
          <w:szCs w:val="24"/>
        </w:rPr>
        <w:t xml:space="preserve">rucks. According to Table A-22 from the Argonne National Laboratory document, the lifetime mileage-weighted </w:t>
      </w:r>
      <w:r w:rsidR="006F322B" w:rsidRPr="003C282F">
        <w:rPr>
          <w:szCs w:val="24"/>
        </w:rPr>
        <w:lastRenderedPageBreak/>
        <w:t>average air pollutant emission factors (g/mile) for diesel combination long-haul trucks for model year 2005 and 2019 are 13.9775 g/mile and 4.8525 g/mile, respectively. These five trucks average 92,380 miles per year. The following equation provides the quantified emissions benefit of replacing these five 2005 engine model year trucks with new 2019 engine model year trucks.</w:t>
      </w:r>
    </w:p>
    <w:p w14:paraId="09ECBA77" w14:textId="43EDB51A" w:rsidR="006F322B" w:rsidRPr="003C282F" w:rsidRDefault="006F322B">
      <w:pPr>
        <w:spacing w:after="0"/>
        <w:rPr>
          <w:szCs w:val="24"/>
        </w:rPr>
      </w:pPr>
    </w:p>
    <w:p w14:paraId="43425611" w14:textId="1703EAC4" w:rsidR="00AD34DF" w:rsidRPr="00356C7F" w:rsidRDefault="00350DCE">
      <w:pPr>
        <w:spacing w:after="0"/>
        <w:rPr>
          <w:szCs w:val="24"/>
        </w:rPr>
      </w:pPr>
      <m:oMathPara>
        <m:oMath>
          <m:f>
            <m:fPr>
              <m:ctrlPr>
                <w:rPr>
                  <w:rFonts w:ascii="Cambria Math" w:hAnsi="Cambria Math"/>
                  <w:szCs w:val="24"/>
                </w:rPr>
              </m:ctrlPr>
            </m:fPr>
            <m:num>
              <m:r>
                <w:rPr>
                  <w:rFonts w:ascii="Cambria Math" w:hAnsi="Cambria Math"/>
                  <w:szCs w:val="24"/>
                </w:rPr>
                <m:t>5 trucks*92,380 miles per year*</m:t>
              </m:r>
              <m:d>
                <m:dPr>
                  <m:ctrlPr>
                    <w:rPr>
                      <w:rFonts w:ascii="Cambria Math" w:hAnsi="Cambria Math"/>
                      <w:i/>
                      <w:szCs w:val="24"/>
                    </w:rPr>
                  </m:ctrlPr>
                </m:dPr>
                <m:e>
                  <m:r>
                    <w:rPr>
                      <w:rFonts w:ascii="Cambria Math" w:hAnsi="Cambria Math"/>
                      <w:szCs w:val="24"/>
                    </w:rPr>
                    <m:t>13.9775 grams per mile-4.8525 grams per mile</m:t>
                  </m:r>
                </m:e>
              </m:d>
            </m:num>
            <m:den>
              <m:eqArr>
                <m:eqArrPr>
                  <m:ctrlPr>
                    <w:rPr>
                      <w:rFonts w:ascii="Cambria Math" w:hAnsi="Cambria Math"/>
                      <w:i/>
                      <w:szCs w:val="24"/>
                    </w:rPr>
                  </m:ctrlPr>
                </m:eqArrPr>
                <m:e>
                  <m:r>
                    <w:rPr>
                      <w:rFonts w:ascii="Cambria Math" w:hAnsi="Cambria Math"/>
                      <w:szCs w:val="24"/>
                    </w:rPr>
                    <m:t>907,185 grams per ton</m:t>
                  </m:r>
                </m:e>
                <m:e/>
              </m:eqArr>
            </m:den>
          </m:f>
          <m:r>
            <w:rPr>
              <w:rFonts w:ascii="Cambria Math" w:hAnsi="Cambria Math"/>
              <w:szCs w:val="24"/>
            </w:rPr>
            <m:t>=</m:t>
          </m:r>
          <m:r>
            <m:rPr>
              <m:sty m:val="bi"/>
            </m:rPr>
            <w:rPr>
              <w:rFonts w:ascii="Cambria Math" w:hAnsi="Cambria Math"/>
              <w:szCs w:val="24"/>
            </w:rPr>
            <m:t>4.65 tons NOx per year</m:t>
          </m:r>
          <m:r>
            <w:rPr>
              <w:rFonts w:ascii="Cambria Math" w:hAnsi="Cambria Math"/>
              <w:szCs w:val="24"/>
            </w:rPr>
            <m:t xml:space="preserve"> </m:t>
          </m:r>
        </m:oMath>
      </m:oMathPara>
    </w:p>
    <w:p w14:paraId="52577017" w14:textId="77777777" w:rsidR="00AD34DF" w:rsidRPr="003C282F" w:rsidRDefault="00AD34DF">
      <w:pPr>
        <w:spacing w:after="0"/>
        <w:rPr>
          <w:szCs w:val="24"/>
        </w:rPr>
      </w:pPr>
    </w:p>
    <w:p w14:paraId="7239C66D" w14:textId="41FFBE8F" w:rsidR="007547A9" w:rsidRPr="003C282F" w:rsidRDefault="007547A9">
      <w:pPr>
        <w:spacing w:after="0"/>
        <w:rPr>
          <w:szCs w:val="24"/>
        </w:rPr>
      </w:pPr>
      <w:r w:rsidRPr="00356C7F">
        <w:rPr>
          <w:szCs w:val="24"/>
        </w:rPr>
        <w:t>T</w:t>
      </w:r>
      <w:r w:rsidR="00AD34DF" w:rsidRPr="003C282F">
        <w:rPr>
          <w:szCs w:val="24"/>
        </w:rPr>
        <w:t>he quantified NO</w:t>
      </w:r>
      <w:r w:rsidR="00AD34DF" w:rsidRPr="003C282F">
        <w:rPr>
          <w:szCs w:val="24"/>
          <w:vertAlign w:val="subscript"/>
        </w:rPr>
        <w:t>x</w:t>
      </w:r>
      <w:r w:rsidR="00AD34DF" w:rsidRPr="003C282F">
        <w:rPr>
          <w:szCs w:val="24"/>
        </w:rPr>
        <w:t xml:space="preserve"> emission</w:t>
      </w:r>
      <w:r w:rsidRPr="00356C7F">
        <w:rPr>
          <w:szCs w:val="24"/>
        </w:rPr>
        <w:t>s</w:t>
      </w:r>
      <w:r w:rsidR="00AD34DF" w:rsidRPr="003C282F">
        <w:rPr>
          <w:szCs w:val="24"/>
        </w:rPr>
        <w:t xml:space="preserve"> reduction </w:t>
      </w:r>
      <w:r w:rsidRPr="00356C7F">
        <w:rPr>
          <w:szCs w:val="24"/>
        </w:rPr>
        <w:t xml:space="preserve">achieved by these DERA </w:t>
      </w:r>
      <w:r w:rsidR="00AD34DF" w:rsidRPr="003C282F">
        <w:rPr>
          <w:szCs w:val="24"/>
        </w:rPr>
        <w:t>truck replacement project</w:t>
      </w:r>
      <w:r w:rsidRPr="00356C7F">
        <w:rPr>
          <w:szCs w:val="24"/>
        </w:rPr>
        <w:t>s</w:t>
      </w:r>
      <w:r w:rsidR="00AD34DF" w:rsidRPr="003C282F">
        <w:rPr>
          <w:szCs w:val="24"/>
        </w:rPr>
        <w:t xml:space="preserve"> used </w:t>
      </w:r>
      <w:r w:rsidRPr="00356C7F">
        <w:rPr>
          <w:szCs w:val="24"/>
        </w:rPr>
        <w:t xml:space="preserve">to demonstrate </w:t>
      </w:r>
      <w:r w:rsidR="00AD34DF" w:rsidRPr="003C282F">
        <w:rPr>
          <w:szCs w:val="24"/>
        </w:rPr>
        <w:t>equivalent emission reduction</w:t>
      </w:r>
      <w:r w:rsidRPr="00356C7F">
        <w:rPr>
          <w:szCs w:val="24"/>
        </w:rPr>
        <w:t xml:space="preserve">s </w:t>
      </w:r>
      <w:r w:rsidR="00AD34DF" w:rsidRPr="003C282F">
        <w:rPr>
          <w:szCs w:val="24"/>
        </w:rPr>
        <w:t xml:space="preserve">for the removal of the GVIP requirements in Boles Township </w:t>
      </w:r>
      <w:r w:rsidRPr="00356C7F">
        <w:rPr>
          <w:szCs w:val="24"/>
        </w:rPr>
        <w:t>is</w:t>
      </w:r>
      <w:r w:rsidRPr="003C282F">
        <w:rPr>
          <w:szCs w:val="24"/>
        </w:rPr>
        <w:t xml:space="preserve"> </w:t>
      </w:r>
      <w:r w:rsidR="00AD34DF" w:rsidRPr="003C282F">
        <w:rPr>
          <w:szCs w:val="24"/>
        </w:rPr>
        <w:t>4.65 tons/year.</w:t>
      </w:r>
      <w:r w:rsidR="00A760CD">
        <w:rPr>
          <w:szCs w:val="24"/>
        </w:rPr>
        <w:t xml:space="preserve"> T</w:t>
      </w:r>
      <w:r w:rsidRPr="00356C7F">
        <w:rPr>
          <w:szCs w:val="24"/>
        </w:rPr>
        <w:t>hese emission reductions meet the requirements for equivalent</w:t>
      </w:r>
      <w:r w:rsidR="00A760CD">
        <w:rPr>
          <w:szCs w:val="24"/>
        </w:rPr>
        <w:t xml:space="preserve"> </w:t>
      </w:r>
      <w:r w:rsidRPr="00356C7F">
        <w:rPr>
          <w:szCs w:val="24"/>
        </w:rPr>
        <w:t xml:space="preserve">emission reductions </w:t>
      </w:r>
      <w:r w:rsidR="00A760CD">
        <w:rPr>
          <w:szCs w:val="24"/>
        </w:rPr>
        <w:t xml:space="preserve">and are </w:t>
      </w:r>
      <w:r w:rsidRPr="00356C7F">
        <w:rPr>
          <w:szCs w:val="24"/>
        </w:rPr>
        <w:t>contemporaneous, permanent, enforceable, and surplus.</w:t>
      </w:r>
    </w:p>
    <w:p w14:paraId="7E880774" w14:textId="40211692" w:rsidR="0068304C" w:rsidRPr="003C282F" w:rsidRDefault="0068304C">
      <w:pPr>
        <w:spacing w:after="0"/>
        <w:rPr>
          <w:szCs w:val="24"/>
        </w:rPr>
      </w:pPr>
    </w:p>
    <w:p w14:paraId="6584B7F8" w14:textId="287F7157" w:rsidR="00AD34DF" w:rsidRPr="006E7D7E" w:rsidRDefault="00AD34DF">
      <w:pPr>
        <w:pStyle w:val="Heading2"/>
        <w:numPr>
          <w:ilvl w:val="0"/>
          <w:numId w:val="0"/>
        </w:numPr>
        <w:spacing w:before="0"/>
        <w:rPr>
          <w:rFonts w:eastAsia="Times New Roman"/>
          <w:b w:val="0"/>
          <w:bCs/>
          <w:i w:val="0"/>
          <w:sz w:val="24"/>
          <w:szCs w:val="24"/>
          <w:u w:val="single"/>
        </w:rPr>
      </w:pPr>
      <w:r w:rsidRPr="006E7D7E">
        <w:rPr>
          <w:rFonts w:eastAsia="Times New Roman"/>
          <w:b w:val="0"/>
          <w:bCs/>
          <w:i w:val="0"/>
          <w:sz w:val="24"/>
          <w:szCs w:val="24"/>
          <w:u w:val="single"/>
        </w:rPr>
        <w:t>10 CSR 10-6.410 Emi</w:t>
      </w:r>
      <w:r w:rsidR="00075724" w:rsidRPr="006E7D7E">
        <w:rPr>
          <w:rFonts w:eastAsia="Times New Roman"/>
          <w:b w:val="0"/>
          <w:bCs/>
          <w:i w:val="0"/>
          <w:sz w:val="24"/>
          <w:szCs w:val="24"/>
          <w:u w:val="single"/>
        </w:rPr>
        <w:t>ssions Banking and Trading Rule</w:t>
      </w:r>
    </w:p>
    <w:p w14:paraId="51F89362" w14:textId="3FBE467F" w:rsidR="00AD34DF" w:rsidRPr="003C282F" w:rsidRDefault="00AD34DF">
      <w:pPr>
        <w:spacing w:after="0"/>
        <w:rPr>
          <w:szCs w:val="24"/>
        </w:rPr>
      </w:pPr>
      <w:r w:rsidRPr="00356C7F">
        <w:rPr>
          <w:szCs w:val="24"/>
        </w:rPr>
        <w:t xml:space="preserve">State rule </w:t>
      </w:r>
      <w:r w:rsidRPr="003C282F">
        <w:rPr>
          <w:i/>
          <w:szCs w:val="24"/>
        </w:rPr>
        <w:t xml:space="preserve">10 CSR 10-6.410 Emissions </w:t>
      </w:r>
      <w:proofErr w:type="gramStart"/>
      <w:r w:rsidRPr="003C282F">
        <w:rPr>
          <w:i/>
          <w:szCs w:val="24"/>
        </w:rPr>
        <w:t>Banking</w:t>
      </w:r>
      <w:proofErr w:type="gramEnd"/>
      <w:r w:rsidRPr="003C282F">
        <w:rPr>
          <w:i/>
          <w:szCs w:val="24"/>
        </w:rPr>
        <w:t xml:space="preserve"> and Trading</w:t>
      </w:r>
      <w:r w:rsidRPr="003C282F">
        <w:rPr>
          <w:szCs w:val="24"/>
        </w:rPr>
        <w:t xml:space="preserve"> allows facilities to implement voluntary emission reduction projects to acquire emission reduction credits</w:t>
      </w:r>
      <w:r w:rsidR="00965324" w:rsidRPr="003C282F">
        <w:rPr>
          <w:szCs w:val="24"/>
        </w:rPr>
        <w:t xml:space="preserve"> (ERCs)</w:t>
      </w:r>
      <w:r w:rsidRPr="003C282F">
        <w:rPr>
          <w:szCs w:val="24"/>
        </w:rPr>
        <w:t xml:space="preserve">. The rule also requires </w:t>
      </w:r>
      <w:r w:rsidR="00DC4BAF" w:rsidRPr="00356C7F">
        <w:rPr>
          <w:szCs w:val="24"/>
        </w:rPr>
        <w:t xml:space="preserve">the annual </w:t>
      </w:r>
      <w:r w:rsidR="00A760CD">
        <w:rPr>
          <w:szCs w:val="24"/>
        </w:rPr>
        <w:t>reduction</w:t>
      </w:r>
      <w:r w:rsidR="00A760CD" w:rsidRPr="00356C7F">
        <w:rPr>
          <w:szCs w:val="24"/>
        </w:rPr>
        <w:t xml:space="preserve"> </w:t>
      </w:r>
      <w:r w:rsidR="00DC4BAF" w:rsidRPr="00356C7F">
        <w:rPr>
          <w:szCs w:val="24"/>
        </w:rPr>
        <w:t xml:space="preserve">of </w:t>
      </w:r>
      <w:r w:rsidRPr="003C282F">
        <w:rPr>
          <w:szCs w:val="24"/>
        </w:rPr>
        <w:t xml:space="preserve">banked </w:t>
      </w:r>
      <w:r w:rsidR="00965324" w:rsidRPr="003C282F">
        <w:rPr>
          <w:szCs w:val="24"/>
        </w:rPr>
        <w:t>ERCs</w:t>
      </w:r>
      <w:r w:rsidRPr="003C282F">
        <w:rPr>
          <w:szCs w:val="24"/>
        </w:rPr>
        <w:t xml:space="preserve"> by three percent </w:t>
      </w:r>
      <w:r w:rsidR="00A727FB" w:rsidRPr="003C282F">
        <w:rPr>
          <w:szCs w:val="24"/>
        </w:rPr>
        <w:t>(3%)</w:t>
      </w:r>
      <w:r w:rsidR="00474417">
        <w:rPr>
          <w:szCs w:val="24"/>
        </w:rPr>
        <w:t>,</w:t>
      </w:r>
      <w:r w:rsidR="00A727FB" w:rsidRPr="003C282F">
        <w:rPr>
          <w:szCs w:val="24"/>
        </w:rPr>
        <w:t xml:space="preserve"> </w:t>
      </w:r>
      <w:r w:rsidR="00A760CD">
        <w:rPr>
          <w:szCs w:val="24"/>
        </w:rPr>
        <w:t>which is</w:t>
      </w:r>
      <w:r w:rsidR="00A760CD" w:rsidRPr="003C282F">
        <w:rPr>
          <w:szCs w:val="24"/>
        </w:rPr>
        <w:t xml:space="preserve"> </w:t>
      </w:r>
      <w:r w:rsidRPr="003C282F">
        <w:rPr>
          <w:szCs w:val="24"/>
        </w:rPr>
        <w:t>then rounded down to the next full ton.</w:t>
      </w:r>
    </w:p>
    <w:p w14:paraId="483AE80C" w14:textId="77777777" w:rsidR="00AD34DF" w:rsidRPr="003C282F" w:rsidRDefault="00AD34DF">
      <w:pPr>
        <w:spacing w:after="0"/>
        <w:rPr>
          <w:szCs w:val="24"/>
        </w:rPr>
      </w:pPr>
    </w:p>
    <w:p w14:paraId="16E4FF36" w14:textId="6105D5F7" w:rsidR="00AD34DF" w:rsidRDefault="00AD34DF">
      <w:pPr>
        <w:spacing w:after="0"/>
        <w:rPr>
          <w:szCs w:val="24"/>
        </w:rPr>
      </w:pPr>
      <w:r w:rsidRPr="003C282F">
        <w:rPr>
          <w:szCs w:val="24"/>
        </w:rPr>
        <w:t xml:space="preserve">In 2017, </w:t>
      </w:r>
      <w:r w:rsidR="00965324" w:rsidRPr="003C282F">
        <w:rPr>
          <w:szCs w:val="24"/>
        </w:rPr>
        <w:t xml:space="preserve">which is within the contemporaneous time frame under the 2015 ozone standard, </w:t>
      </w:r>
      <w:r w:rsidRPr="003C282F">
        <w:rPr>
          <w:szCs w:val="24"/>
        </w:rPr>
        <w:t xml:space="preserve">Anheuser Busch implemented an emission reduction project in </w:t>
      </w:r>
      <w:r w:rsidR="00965324" w:rsidRPr="003C282F">
        <w:rPr>
          <w:szCs w:val="24"/>
        </w:rPr>
        <w:t>the St. Louis area in which</w:t>
      </w:r>
      <w:r w:rsidRPr="003C282F">
        <w:rPr>
          <w:szCs w:val="24"/>
        </w:rPr>
        <w:t xml:space="preserve"> </w:t>
      </w:r>
      <w:r w:rsidR="00965324" w:rsidRPr="003C282F">
        <w:rPr>
          <w:szCs w:val="24"/>
        </w:rPr>
        <w:t>the facility</w:t>
      </w:r>
      <w:r w:rsidRPr="003C282F">
        <w:rPr>
          <w:szCs w:val="24"/>
        </w:rPr>
        <w:t xml:space="preserve"> banked 252.06 tons/year of NO</w:t>
      </w:r>
      <w:r w:rsidRPr="003C282F">
        <w:rPr>
          <w:szCs w:val="24"/>
          <w:vertAlign w:val="subscript"/>
        </w:rPr>
        <w:t>x</w:t>
      </w:r>
      <w:r w:rsidRPr="003C282F">
        <w:rPr>
          <w:szCs w:val="24"/>
        </w:rPr>
        <w:t xml:space="preserve"> </w:t>
      </w:r>
      <w:r w:rsidR="00965324" w:rsidRPr="003C282F">
        <w:rPr>
          <w:szCs w:val="24"/>
        </w:rPr>
        <w:t>ERCs</w:t>
      </w:r>
      <w:r w:rsidR="00375B12" w:rsidRPr="003C282F">
        <w:rPr>
          <w:szCs w:val="24"/>
        </w:rPr>
        <w:t xml:space="preserve"> (Permit Number: </w:t>
      </w:r>
      <w:r w:rsidR="00375B12" w:rsidRPr="00356C7F">
        <w:rPr>
          <w:szCs w:val="24"/>
        </w:rPr>
        <w:t>2016-04-056 March 30, 2017)</w:t>
      </w:r>
      <w:r w:rsidRPr="003C282F">
        <w:rPr>
          <w:szCs w:val="24"/>
        </w:rPr>
        <w:t>. In December 2017, these credits</w:t>
      </w:r>
      <w:r w:rsidR="00DC4BAF" w:rsidRPr="00356C7F">
        <w:rPr>
          <w:szCs w:val="24"/>
        </w:rPr>
        <w:t xml:space="preserve">, </w:t>
      </w:r>
      <w:r w:rsidRPr="003C282F">
        <w:rPr>
          <w:szCs w:val="24"/>
        </w:rPr>
        <w:t xml:space="preserve">reduced by three percent per the state rule, </w:t>
      </w:r>
      <w:r w:rsidR="00DC4BAF" w:rsidRPr="00356C7F">
        <w:rPr>
          <w:szCs w:val="24"/>
        </w:rPr>
        <w:t>resulted</w:t>
      </w:r>
      <w:r w:rsidRPr="003C282F">
        <w:rPr>
          <w:szCs w:val="24"/>
        </w:rPr>
        <w:t xml:space="preserve"> in a January 2018 balance of 244 credits. In 2018, Anheuser Busch transferred 165 of these </w:t>
      </w:r>
      <w:r w:rsidR="00965324" w:rsidRPr="003C282F">
        <w:rPr>
          <w:szCs w:val="24"/>
        </w:rPr>
        <w:t>ERCs</w:t>
      </w:r>
      <w:r w:rsidRPr="003C282F">
        <w:rPr>
          <w:szCs w:val="24"/>
        </w:rPr>
        <w:t xml:space="preserve"> to another facility in the area (Metal Container Corporation) leaving Anheuser Busch with 79 NO</w:t>
      </w:r>
      <w:r w:rsidRPr="003C282F">
        <w:rPr>
          <w:szCs w:val="24"/>
          <w:vertAlign w:val="subscript"/>
        </w:rPr>
        <w:t>x</w:t>
      </w:r>
      <w:r w:rsidRPr="003C282F">
        <w:rPr>
          <w:szCs w:val="24"/>
        </w:rPr>
        <w:t xml:space="preserve"> </w:t>
      </w:r>
      <w:r w:rsidR="00965324" w:rsidRPr="003C282F">
        <w:rPr>
          <w:szCs w:val="24"/>
        </w:rPr>
        <w:t>ERCs</w:t>
      </w:r>
      <w:r w:rsidRPr="003C282F">
        <w:rPr>
          <w:szCs w:val="24"/>
        </w:rPr>
        <w:t xml:space="preserve">. These </w:t>
      </w:r>
      <w:r w:rsidR="00965324" w:rsidRPr="003C282F">
        <w:rPr>
          <w:szCs w:val="24"/>
        </w:rPr>
        <w:t>ERCs</w:t>
      </w:r>
      <w:r w:rsidRPr="003C282F">
        <w:rPr>
          <w:szCs w:val="24"/>
        </w:rPr>
        <w:t xml:space="preserve"> have then since reduced by three percent each December. </w:t>
      </w:r>
      <w:r w:rsidR="00810E34">
        <w:rPr>
          <w:szCs w:val="24"/>
        </w:rPr>
        <w:t>S</w:t>
      </w:r>
      <w:r w:rsidRPr="003C282F">
        <w:rPr>
          <w:szCs w:val="24"/>
        </w:rPr>
        <w:t xml:space="preserve">ince 2017, the three percent annual </w:t>
      </w:r>
      <w:proofErr w:type="gramStart"/>
      <w:r w:rsidRPr="003C282F">
        <w:rPr>
          <w:szCs w:val="24"/>
        </w:rPr>
        <w:t xml:space="preserve">reductions in </w:t>
      </w:r>
      <w:r w:rsidR="00965324" w:rsidRPr="003C282F">
        <w:rPr>
          <w:szCs w:val="24"/>
        </w:rPr>
        <w:t>ERCs</w:t>
      </w:r>
      <w:r w:rsidRPr="003C282F">
        <w:rPr>
          <w:szCs w:val="24"/>
        </w:rPr>
        <w:t xml:space="preserve"> for Anheuser Busch has</w:t>
      </w:r>
      <w:proofErr w:type="gramEnd"/>
      <w:r w:rsidRPr="003C282F">
        <w:rPr>
          <w:szCs w:val="24"/>
        </w:rPr>
        <w:t xml:space="preserve"> resulted in a permanent emission reduction in the area of </w:t>
      </w:r>
      <w:r w:rsidR="00982DA9">
        <w:rPr>
          <w:szCs w:val="24"/>
        </w:rPr>
        <w:t>21</w:t>
      </w:r>
      <w:r w:rsidRPr="003C282F">
        <w:rPr>
          <w:szCs w:val="24"/>
        </w:rPr>
        <w:t>.06 tons/year of NO</w:t>
      </w:r>
      <w:r w:rsidRPr="003C282F">
        <w:rPr>
          <w:szCs w:val="24"/>
          <w:vertAlign w:val="subscript"/>
        </w:rPr>
        <w:t>x</w:t>
      </w:r>
      <w:r w:rsidRPr="003C282F">
        <w:rPr>
          <w:szCs w:val="24"/>
        </w:rPr>
        <w:t xml:space="preserve"> as of the beginning of 202</w:t>
      </w:r>
      <w:r w:rsidR="00982DA9">
        <w:rPr>
          <w:szCs w:val="24"/>
        </w:rPr>
        <w:t>1</w:t>
      </w:r>
      <w:r w:rsidRPr="003C282F">
        <w:rPr>
          <w:szCs w:val="24"/>
        </w:rPr>
        <w:t>.</w:t>
      </w:r>
    </w:p>
    <w:p w14:paraId="24BE161D" w14:textId="78E149D5" w:rsidR="005D37FE" w:rsidRDefault="005D37FE">
      <w:pPr>
        <w:spacing w:after="0"/>
        <w:rPr>
          <w:szCs w:val="24"/>
        </w:rPr>
      </w:pPr>
    </w:p>
    <w:p w14:paraId="2E37A3DC" w14:textId="57D22DEB" w:rsidR="005D37FE" w:rsidRPr="003C282F" w:rsidRDefault="005D37FE">
      <w:pPr>
        <w:spacing w:after="0"/>
        <w:rPr>
          <w:szCs w:val="24"/>
        </w:rPr>
      </w:pPr>
      <w:r w:rsidRPr="003C282F">
        <w:rPr>
          <w:szCs w:val="24"/>
        </w:rPr>
        <w:t xml:space="preserve">Metal Container Corporation (the facility that Anheuser Busch transferred 165 ERCs to in 2018), initially used 158 ERCs to satisfy a requirement in their permit. This left them with 7 ERCs banked. In December 2018, the three percent reduction dropped their banked ERC total to 6 tons/year, and in December 2019 the annual reduction dropped their banked ERC total to 5 tons/year. Therefore, the three percent annual reductions at Metal Container Corporation have resulted in a permanent emission reduction in the area of </w:t>
      </w:r>
      <w:r w:rsidR="00982DA9">
        <w:rPr>
          <w:szCs w:val="24"/>
        </w:rPr>
        <w:t>3</w:t>
      </w:r>
      <w:r w:rsidRPr="003C282F">
        <w:rPr>
          <w:szCs w:val="24"/>
        </w:rPr>
        <w:t xml:space="preserve"> tons/year of NO</w:t>
      </w:r>
      <w:r w:rsidRPr="003C282F">
        <w:rPr>
          <w:szCs w:val="24"/>
          <w:vertAlign w:val="subscript"/>
        </w:rPr>
        <w:t>x</w:t>
      </w:r>
      <w:r w:rsidRPr="003C282F">
        <w:rPr>
          <w:szCs w:val="24"/>
        </w:rPr>
        <w:t xml:space="preserve"> as of the beginning of 202</w:t>
      </w:r>
      <w:r w:rsidR="00982DA9">
        <w:rPr>
          <w:szCs w:val="24"/>
        </w:rPr>
        <w:t>1</w:t>
      </w:r>
      <w:r w:rsidRPr="003C282F">
        <w:rPr>
          <w:szCs w:val="24"/>
        </w:rPr>
        <w:t>. Adding these two tons/year with the emission reductions associated with the annual three percent reductions pursuant to the state rule at Anheuser Busch gives a total of 2</w:t>
      </w:r>
      <w:r w:rsidR="00982DA9">
        <w:rPr>
          <w:szCs w:val="24"/>
        </w:rPr>
        <w:t>4</w:t>
      </w:r>
      <w:r w:rsidRPr="003C282F">
        <w:rPr>
          <w:szCs w:val="24"/>
        </w:rPr>
        <w:t>.06 tons/year of permanent NO</w:t>
      </w:r>
      <w:r w:rsidRPr="003C282F">
        <w:rPr>
          <w:szCs w:val="24"/>
          <w:vertAlign w:val="subscript"/>
        </w:rPr>
        <w:t>x</w:t>
      </w:r>
      <w:r w:rsidRPr="003C282F">
        <w:rPr>
          <w:szCs w:val="24"/>
        </w:rPr>
        <w:t xml:space="preserve"> reductions in the area.</w:t>
      </w:r>
    </w:p>
    <w:p w14:paraId="75DA56F4" w14:textId="77777777" w:rsidR="005D37FE" w:rsidRPr="003C282F" w:rsidRDefault="005D37FE">
      <w:pPr>
        <w:spacing w:after="0"/>
        <w:rPr>
          <w:szCs w:val="24"/>
        </w:rPr>
      </w:pPr>
    </w:p>
    <w:p w14:paraId="5E579C13" w14:textId="5DD2B7C1" w:rsidR="006B4433" w:rsidRDefault="005D37FE">
      <w:pPr>
        <w:spacing w:after="0"/>
        <w:rPr>
          <w:szCs w:val="24"/>
        </w:rPr>
      </w:pPr>
      <w:r w:rsidRPr="003C282F">
        <w:rPr>
          <w:szCs w:val="24"/>
        </w:rPr>
        <w:t xml:space="preserve">Table 1 summarizes the </w:t>
      </w:r>
      <w:r>
        <w:rPr>
          <w:szCs w:val="24"/>
        </w:rPr>
        <w:t xml:space="preserve">banked </w:t>
      </w:r>
      <w:r w:rsidRPr="003C282F">
        <w:rPr>
          <w:szCs w:val="24"/>
        </w:rPr>
        <w:t>ERCs pursuant to the state rule, along with their three percent reductions.</w:t>
      </w:r>
    </w:p>
    <w:p w14:paraId="5EA259BE" w14:textId="77777777" w:rsidR="005D37FE" w:rsidRPr="003C282F" w:rsidRDefault="005D37FE">
      <w:pPr>
        <w:spacing w:after="0"/>
        <w:rPr>
          <w:szCs w:val="24"/>
        </w:rPr>
      </w:pPr>
    </w:p>
    <w:p w14:paraId="32373C09" w14:textId="77777777" w:rsidR="0050544B" w:rsidRDefault="0050544B">
      <w:pPr>
        <w:spacing w:after="0"/>
        <w:rPr>
          <w:szCs w:val="24"/>
        </w:rPr>
      </w:pPr>
      <w:r>
        <w:rPr>
          <w:szCs w:val="24"/>
        </w:rPr>
        <w:br w:type="page"/>
      </w:r>
    </w:p>
    <w:p w14:paraId="52EC1F19" w14:textId="0C6C4F9F" w:rsidR="00AD34DF" w:rsidRPr="003C282F" w:rsidRDefault="00AD34DF">
      <w:pPr>
        <w:spacing w:after="0"/>
        <w:rPr>
          <w:szCs w:val="24"/>
        </w:rPr>
      </w:pPr>
      <w:r w:rsidRPr="003C282F">
        <w:rPr>
          <w:szCs w:val="24"/>
        </w:rPr>
        <w:lastRenderedPageBreak/>
        <w:t xml:space="preserve">Table 1 –Emission Reduction Credit Summary </w:t>
      </w:r>
      <w:r w:rsidR="00A314D7">
        <w:rPr>
          <w:szCs w:val="24"/>
        </w:rPr>
        <w:t xml:space="preserve">for NOx </w:t>
      </w:r>
      <w:r w:rsidRPr="003C282F">
        <w:rPr>
          <w:szCs w:val="24"/>
        </w:rPr>
        <w:t>Since 2017</w:t>
      </w:r>
    </w:p>
    <w:tbl>
      <w:tblPr>
        <w:tblStyle w:val="TableGrid"/>
        <w:tblW w:w="9382" w:type="dxa"/>
        <w:jc w:val="center"/>
        <w:tblLook w:val="04A0" w:firstRow="1" w:lastRow="0" w:firstColumn="1" w:lastColumn="0" w:noHBand="0" w:noVBand="1"/>
      </w:tblPr>
      <w:tblGrid>
        <w:gridCol w:w="2245"/>
        <w:gridCol w:w="1800"/>
        <w:gridCol w:w="1800"/>
        <w:gridCol w:w="1817"/>
        <w:gridCol w:w="1720"/>
      </w:tblGrid>
      <w:tr w:rsidR="006E7D7E" w:rsidRPr="003C282F" w14:paraId="0260C880" w14:textId="77777777" w:rsidTr="006E7D7E">
        <w:trPr>
          <w:jc w:val="center"/>
        </w:trPr>
        <w:tc>
          <w:tcPr>
            <w:tcW w:w="2245" w:type="dxa"/>
          </w:tcPr>
          <w:p w14:paraId="7B1FFE70" w14:textId="69C66D39" w:rsidR="006E7D7E" w:rsidRPr="00356C7F" w:rsidRDefault="006E7D7E">
            <w:pPr>
              <w:spacing w:after="0"/>
              <w:rPr>
                <w:szCs w:val="24"/>
              </w:rPr>
            </w:pPr>
            <w:r>
              <w:rPr>
                <w:szCs w:val="24"/>
              </w:rPr>
              <w:t>ERC Owner</w:t>
            </w:r>
          </w:p>
        </w:tc>
        <w:tc>
          <w:tcPr>
            <w:tcW w:w="1800" w:type="dxa"/>
            <w:vAlign w:val="center"/>
          </w:tcPr>
          <w:p w14:paraId="4771D8A0" w14:textId="7F244741" w:rsidR="006E7D7E" w:rsidRPr="00356C7F" w:rsidRDefault="006E7D7E">
            <w:pPr>
              <w:spacing w:after="0"/>
              <w:rPr>
                <w:szCs w:val="24"/>
              </w:rPr>
            </w:pPr>
            <w:r w:rsidRPr="00356C7F">
              <w:rPr>
                <w:szCs w:val="24"/>
              </w:rPr>
              <w:t>B</w:t>
            </w:r>
            <w:r w:rsidR="00A314D7">
              <w:rPr>
                <w:szCs w:val="24"/>
              </w:rPr>
              <w:t>eginning balance of b</w:t>
            </w:r>
            <w:r w:rsidRPr="00356C7F">
              <w:rPr>
                <w:szCs w:val="24"/>
              </w:rPr>
              <w:t>anked ERCs (tons/year)</w:t>
            </w:r>
          </w:p>
        </w:tc>
        <w:tc>
          <w:tcPr>
            <w:tcW w:w="1800" w:type="dxa"/>
            <w:vAlign w:val="center"/>
          </w:tcPr>
          <w:p w14:paraId="3A9141FB" w14:textId="77777777" w:rsidR="006E7D7E" w:rsidRPr="00356C7F" w:rsidRDefault="006E7D7E">
            <w:pPr>
              <w:spacing w:after="0"/>
              <w:rPr>
                <w:szCs w:val="24"/>
              </w:rPr>
            </w:pPr>
            <w:r w:rsidRPr="00356C7F">
              <w:rPr>
                <w:szCs w:val="24"/>
              </w:rPr>
              <w:t>Date</w:t>
            </w:r>
          </w:p>
        </w:tc>
        <w:tc>
          <w:tcPr>
            <w:tcW w:w="1817" w:type="dxa"/>
            <w:vAlign w:val="center"/>
          </w:tcPr>
          <w:p w14:paraId="719D1E5C" w14:textId="4C8346A8" w:rsidR="006E7D7E" w:rsidRPr="00356C7F" w:rsidRDefault="006E7D7E">
            <w:pPr>
              <w:spacing w:after="0"/>
              <w:rPr>
                <w:szCs w:val="24"/>
              </w:rPr>
            </w:pPr>
            <w:r w:rsidRPr="00356C7F">
              <w:rPr>
                <w:szCs w:val="24"/>
              </w:rPr>
              <w:t>New balance of banked ERCs (tons/year)</w:t>
            </w:r>
          </w:p>
        </w:tc>
        <w:tc>
          <w:tcPr>
            <w:tcW w:w="1720" w:type="dxa"/>
            <w:vAlign w:val="center"/>
          </w:tcPr>
          <w:p w14:paraId="33A2AA01" w14:textId="059E8220" w:rsidR="006E7D7E" w:rsidRPr="00356C7F" w:rsidRDefault="006E7D7E">
            <w:pPr>
              <w:spacing w:after="0"/>
              <w:rPr>
                <w:szCs w:val="24"/>
              </w:rPr>
            </w:pPr>
            <w:r w:rsidRPr="00356C7F">
              <w:rPr>
                <w:szCs w:val="24"/>
              </w:rPr>
              <w:t>ERCs lost due to three percent reduction (tons/year)</w:t>
            </w:r>
          </w:p>
        </w:tc>
      </w:tr>
      <w:tr w:rsidR="006E7D7E" w:rsidRPr="003C282F" w14:paraId="356BB6E3" w14:textId="77777777" w:rsidTr="00350DCE">
        <w:trPr>
          <w:trHeight w:val="360"/>
          <w:jc w:val="center"/>
        </w:trPr>
        <w:tc>
          <w:tcPr>
            <w:tcW w:w="2245" w:type="dxa"/>
            <w:vAlign w:val="bottom"/>
          </w:tcPr>
          <w:p w14:paraId="7D4ED0B7" w14:textId="22D82B04" w:rsidR="006E7D7E" w:rsidRPr="00356C7F" w:rsidRDefault="006E7D7E" w:rsidP="00350DCE">
            <w:pPr>
              <w:spacing w:after="0"/>
              <w:rPr>
                <w:szCs w:val="24"/>
              </w:rPr>
            </w:pPr>
            <w:r>
              <w:rPr>
                <w:szCs w:val="24"/>
              </w:rPr>
              <w:t>AB</w:t>
            </w:r>
          </w:p>
        </w:tc>
        <w:tc>
          <w:tcPr>
            <w:tcW w:w="1800" w:type="dxa"/>
            <w:vAlign w:val="bottom"/>
          </w:tcPr>
          <w:p w14:paraId="69D80B5D" w14:textId="5D5ABE99" w:rsidR="006E7D7E" w:rsidRPr="00356C7F" w:rsidRDefault="006E7D7E" w:rsidP="00350DCE">
            <w:pPr>
              <w:spacing w:after="0"/>
              <w:rPr>
                <w:szCs w:val="24"/>
              </w:rPr>
            </w:pPr>
            <w:r w:rsidRPr="00356C7F">
              <w:rPr>
                <w:szCs w:val="24"/>
              </w:rPr>
              <w:t>252.06</w:t>
            </w:r>
          </w:p>
        </w:tc>
        <w:tc>
          <w:tcPr>
            <w:tcW w:w="1800" w:type="dxa"/>
            <w:vAlign w:val="bottom"/>
          </w:tcPr>
          <w:p w14:paraId="3F35DF9F" w14:textId="335A8949" w:rsidR="006E7D7E" w:rsidRPr="00356C7F" w:rsidRDefault="006E7D7E" w:rsidP="00350DCE">
            <w:pPr>
              <w:spacing w:after="0"/>
              <w:rPr>
                <w:szCs w:val="24"/>
              </w:rPr>
            </w:pPr>
            <w:r w:rsidRPr="00356C7F">
              <w:rPr>
                <w:szCs w:val="24"/>
              </w:rPr>
              <w:t>Dec</w:t>
            </w:r>
            <w:r w:rsidR="00982DA9">
              <w:rPr>
                <w:szCs w:val="24"/>
              </w:rPr>
              <w:t>.</w:t>
            </w:r>
            <w:r w:rsidRPr="00356C7F">
              <w:rPr>
                <w:szCs w:val="24"/>
              </w:rPr>
              <w:t xml:space="preserve"> 31, 2017</w:t>
            </w:r>
          </w:p>
        </w:tc>
        <w:tc>
          <w:tcPr>
            <w:tcW w:w="1817" w:type="dxa"/>
            <w:vAlign w:val="bottom"/>
          </w:tcPr>
          <w:p w14:paraId="10D0B972" w14:textId="77777777" w:rsidR="006E7D7E" w:rsidRPr="00356C7F" w:rsidRDefault="006E7D7E" w:rsidP="00350DCE">
            <w:pPr>
              <w:spacing w:after="0"/>
              <w:rPr>
                <w:szCs w:val="24"/>
              </w:rPr>
            </w:pPr>
            <w:r w:rsidRPr="00356C7F">
              <w:rPr>
                <w:szCs w:val="24"/>
              </w:rPr>
              <w:t>244</w:t>
            </w:r>
          </w:p>
        </w:tc>
        <w:tc>
          <w:tcPr>
            <w:tcW w:w="1720" w:type="dxa"/>
            <w:vAlign w:val="bottom"/>
          </w:tcPr>
          <w:p w14:paraId="3267065C" w14:textId="77777777" w:rsidR="006E7D7E" w:rsidRPr="00356C7F" w:rsidRDefault="006E7D7E" w:rsidP="00350DCE">
            <w:pPr>
              <w:spacing w:after="0"/>
              <w:rPr>
                <w:szCs w:val="24"/>
              </w:rPr>
            </w:pPr>
            <w:r w:rsidRPr="00356C7F">
              <w:rPr>
                <w:szCs w:val="24"/>
              </w:rPr>
              <w:t>12.06</w:t>
            </w:r>
          </w:p>
        </w:tc>
      </w:tr>
      <w:tr w:rsidR="006E7D7E" w:rsidRPr="003C282F" w14:paraId="60D6D860" w14:textId="77777777" w:rsidTr="00350DCE">
        <w:trPr>
          <w:trHeight w:val="360"/>
          <w:jc w:val="center"/>
        </w:trPr>
        <w:tc>
          <w:tcPr>
            <w:tcW w:w="2245" w:type="dxa"/>
            <w:vAlign w:val="bottom"/>
          </w:tcPr>
          <w:p w14:paraId="26024FE4" w14:textId="23E8EEA0" w:rsidR="006E7D7E" w:rsidRPr="00356C7F" w:rsidRDefault="006E7D7E" w:rsidP="00350DCE">
            <w:pPr>
              <w:spacing w:after="0"/>
              <w:rPr>
                <w:szCs w:val="24"/>
              </w:rPr>
            </w:pPr>
            <w:r>
              <w:rPr>
                <w:szCs w:val="24"/>
              </w:rPr>
              <w:t>AB</w:t>
            </w:r>
          </w:p>
        </w:tc>
        <w:tc>
          <w:tcPr>
            <w:tcW w:w="1800" w:type="dxa"/>
            <w:vAlign w:val="bottom"/>
          </w:tcPr>
          <w:p w14:paraId="218A66E7" w14:textId="4A5B275F" w:rsidR="006E7D7E" w:rsidRPr="00356C7F" w:rsidRDefault="006E7D7E" w:rsidP="00350DCE">
            <w:pPr>
              <w:spacing w:after="0"/>
              <w:rPr>
                <w:szCs w:val="24"/>
              </w:rPr>
            </w:pPr>
            <w:r w:rsidRPr="00356C7F">
              <w:rPr>
                <w:szCs w:val="24"/>
              </w:rPr>
              <w:t>79</w:t>
            </w:r>
            <w:r>
              <w:rPr>
                <w:szCs w:val="24"/>
              </w:rPr>
              <w:t>*</w:t>
            </w:r>
          </w:p>
        </w:tc>
        <w:tc>
          <w:tcPr>
            <w:tcW w:w="1800" w:type="dxa"/>
            <w:vAlign w:val="bottom"/>
          </w:tcPr>
          <w:p w14:paraId="219D5116" w14:textId="35165A52" w:rsidR="006E7D7E" w:rsidRPr="00356C7F" w:rsidRDefault="006E7D7E" w:rsidP="00350DCE">
            <w:pPr>
              <w:spacing w:after="0"/>
              <w:rPr>
                <w:szCs w:val="24"/>
              </w:rPr>
            </w:pPr>
            <w:r w:rsidRPr="00356C7F">
              <w:rPr>
                <w:szCs w:val="24"/>
              </w:rPr>
              <w:t>Dec</w:t>
            </w:r>
            <w:r w:rsidR="00982DA9">
              <w:rPr>
                <w:szCs w:val="24"/>
              </w:rPr>
              <w:t>.</w:t>
            </w:r>
            <w:r w:rsidRPr="00356C7F">
              <w:rPr>
                <w:szCs w:val="24"/>
              </w:rPr>
              <w:t xml:space="preserve"> 31, 2018</w:t>
            </w:r>
          </w:p>
        </w:tc>
        <w:tc>
          <w:tcPr>
            <w:tcW w:w="1817" w:type="dxa"/>
            <w:vAlign w:val="bottom"/>
          </w:tcPr>
          <w:p w14:paraId="2B3C73D0" w14:textId="77777777" w:rsidR="006E7D7E" w:rsidRPr="00356C7F" w:rsidRDefault="006E7D7E" w:rsidP="00350DCE">
            <w:pPr>
              <w:spacing w:after="0"/>
              <w:rPr>
                <w:szCs w:val="24"/>
              </w:rPr>
            </w:pPr>
            <w:r w:rsidRPr="00356C7F">
              <w:rPr>
                <w:szCs w:val="24"/>
              </w:rPr>
              <w:t>76</w:t>
            </w:r>
          </w:p>
        </w:tc>
        <w:tc>
          <w:tcPr>
            <w:tcW w:w="1720" w:type="dxa"/>
            <w:vAlign w:val="bottom"/>
          </w:tcPr>
          <w:p w14:paraId="4933BC97" w14:textId="77777777" w:rsidR="006E7D7E" w:rsidRPr="00356C7F" w:rsidRDefault="006E7D7E" w:rsidP="00350DCE">
            <w:pPr>
              <w:spacing w:after="0"/>
              <w:rPr>
                <w:szCs w:val="24"/>
              </w:rPr>
            </w:pPr>
            <w:r w:rsidRPr="00356C7F">
              <w:rPr>
                <w:szCs w:val="24"/>
              </w:rPr>
              <w:t>3</w:t>
            </w:r>
          </w:p>
        </w:tc>
      </w:tr>
      <w:tr w:rsidR="006E7D7E" w:rsidRPr="003C282F" w14:paraId="0640D79F" w14:textId="77777777" w:rsidTr="00350DCE">
        <w:trPr>
          <w:trHeight w:val="360"/>
          <w:jc w:val="center"/>
        </w:trPr>
        <w:tc>
          <w:tcPr>
            <w:tcW w:w="2245" w:type="dxa"/>
            <w:vAlign w:val="bottom"/>
          </w:tcPr>
          <w:p w14:paraId="4CCD2BFC" w14:textId="6E88EB44" w:rsidR="006E7D7E" w:rsidRDefault="006E7D7E" w:rsidP="00350DCE">
            <w:pPr>
              <w:spacing w:after="0"/>
              <w:rPr>
                <w:szCs w:val="24"/>
              </w:rPr>
            </w:pPr>
            <w:r>
              <w:rPr>
                <w:szCs w:val="24"/>
              </w:rPr>
              <w:t>Metal</w:t>
            </w:r>
          </w:p>
        </w:tc>
        <w:tc>
          <w:tcPr>
            <w:tcW w:w="1800" w:type="dxa"/>
            <w:vAlign w:val="bottom"/>
          </w:tcPr>
          <w:p w14:paraId="761D4AFE" w14:textId="4E38A3A3" w:rsidR="006E7D7E" w:rsidRPr="00356C7F" w:rsidRDefault="006E7D7E" w:rsidP="00350DCE">
            <w:pPr>
              <w:spacing w:after="0"/>
              <w:rPr>
                <w:szCs w:val="24"/>
              </w:rPr>
            </w:pPr>
            <w:r>
              <w:rPr>
                <w:szCs w:val="24"/>
              </w:rPr>
              <w:t>7</w:t>
            </w:r>
          </w:p>
        </w:tc>
        <w:tc>
          <w:tcPr>
            <w:tcW w:w="1800" w:type="dxa"/>
            <w:vAlign w:val="bottom"/>
          </w:tcPr>
          <w:p w14:paraId="24DDB65C" w14:textId="7CF365C5" w:rsidR="006E7D7E" w:rsidRPr="00356C7F" w:rsidRDefault="006E7D7E" w:rsidP="00350DCE">
            <w:pPr>
              <w:spacing w:after="0"/>
              <w:rPr>
                <w:szCs w:val="24"/>
              </w:rPr>
            </w:pPr>
            <w:r>
              <w:rPr>
                <w:szCs w:val="24"/>
              </w:rPr>
              <w:t>Dec. 31, 2018</w:t>
            </w:r>
          </w:p>
        </w:tc>
        <w:tc>
          <w:tcPr>
            <w:tcW w:w="1817" w:type="dxa"/>
            <w:vAlign w:val="bottom"/>
          </w:tcPr>
          <w:p w14:paraId="68A9B8F1" w14:textId="306C7C0C" w:rsidR="006E7D7E" w:rsidRPr="00356C7F" w:rsidRDefault="006E7D7E" w:rsidP="00350DCE">
            <w:pPr>
              <w:spacing w:after="0"/>
              <w:rPr>
                <w:szCs w:val="24"/>
              </w:rPr>
            </w:pPr>
            <w:r>
              <w:rPr>
                <w:szCs w:val="24"/>
              </w:rPr>
              <w:t>6</w:t>
            </w:r>
          </w:p>
        </w:tc>
        <w:tc>
          <w:tcPr>
            <w:tcW w:w="1720" w:type="dxa"/>
            <w:vAlign w:val="bottom"/>
          </w:tcPr>
          <w:p w14:paraId="5228E75E" w14:textId="04FC57F2" w:rsidR="006E7D7E" w:rsidRPr="00356C7F" w:rsidRDefault="006E7D7E" w:rsidP="00350DCE">
            <w:pPr>
              <w:spacing w:after="0"/>
              <w:rPr>
                <w:szCs w:val="24"/>
              </w:rPr>
            </w:pPr>
            <w:r>
              <w:rPr>
                <w:szCs w:val="24"/>
              </w:rPr>
              <w:t>1</w:t>
            </w:r>
          </w:p>
        </w:tc>
      </w:tr>
      <w:tr w:rsidR="006E7D7E" w:rsidRPr="003C282F" w14:paraId="2BD83415" w14:textId="77777777" w:rsidTr="00350DCE">
        <w:trPr>
          <w:trHeight w:val="360"/>
          <w:jc w:val="center"/>
        </w:trPr>
        <w:tc>
          <w:tcPr>
            <w:tcW w:w="2245" w:type="dxa"/>
            <w:vAlign w:val="bottom"/>
          </w:tcPr>
          <w:p w14:paraId="6D5B8D53" w14:textId="68D289A6" w:rsidR="006E7D7E" w:rsidRPr="00356C7F" w:rsidRDefault="006E7D7E" w:rsidP="00350DCE">
            <w:pPr>
              <w:spacing w:after="0"/>
              <w:rPr>
                <w:szCs w:val="24"/>
              </w:rPr>
            </w:pPr>
            <w:r>
              <w:rPr>
                <w:szCs w:val="24"/>
              </w:rPr>
              <w:t>AB</w:t>
            </w:r>
          </w:p>
        </w:tc>
        <w:tc>
          <w:tcPr>
            <w:tcW w:w="1800" w:type="dxa"/>
            <w:vAlign w:val="bottom"/>
          </w:tcPr>
          <w:p w14:paraId="2D37CDD1" w14:textId="41BF9247" w:rsidR="006E7D7E" w:rsidRPr="00356C7F" w:rsidRDefault="006E7D7E" w:rsidP="00350DCE">
            <w:pPr>
              <w:spacing w:after="0"/>
              <w:rPr>
                <w:szCs w:val="24"/>
              </w:rPr>
            </w:pPr>
            <w:r w:rsidRPr="00356C7F">
              <w:rPr>
                <w:szCs w:val="24"/>
              </w:rPr>
              <w:t>76</w:t>
            </w:r>
          </w:p>
        </w:tc>
        <w:tc>
          <w:tcPr>
            <w:tcW w:w="1800" w:type="dxa"/>
            <w:vAlign w:val="bottom"/>
          </w:tcPr>
          <w:p w14:paraId="2CAA1CEE" w14:textId="32743B26" w:rsidR="006E7D7E" w:rsidRPr="00356C7F" w:rsidRDefault="006E7D7E" w:rsidP="00350DCE">
            <w:pPr>
              <w:spacing w:after="0"/>
              <w:rPr>
                <w:szCs w:val="24"/>
              </w:rPr>
            </w:pPr>
            <w:r w:rsidRPr="00356C7F">
              <w:rPr>
                <w:szCs w:val="24"/>
              </w:rPr>
              <w:t>Dec</w:t>
            </w:r>
            <w:r w:rsidR="00982DA9">
              <w:rPr>
                <w:szCs w:val="24"/>
              </w:rPr>
              <w:t>.</w:t>
            </w:r>
            <w:r w:rsidRPr="00356C7F">
              <w:rPr>
                <w:szCs w:val="24"/>
              </w:rPr>
              <w:t xml:space="preserve"> 31, 2019</w:t>
            </w:r>
          </w:p>
        </w:tc>
        <w:tc>
          <w:tcPr>
            <w:tcW w:w="1817" w:type="dxa"/>
            <w:vAlign w:val="bottom"/>
          </w:tcPr>
          <w:p w14:paraId="1524AF1B" w14:textId="77777777" w:rsidR="006E7D7E" w:rsidRPr="00356C7F" w:rsidRDefault="006E7D7E" w:rsidP="00350DCE">
            <w:pPr>
              <w:spacing w:after="0"/>
              <w:rPr>
                <w:szCs w:val="24"/>
              </w:rPr>
            </w:pPr>
            <w:r w:rsidRPr="00356C7F">
              <w:rPr>
                <w:szCs w:val="24"/>
              </w:rPr>
              <w:t>73</w:t>
            </w:r>
          </w:p>
        </w:tc>
        <w:tc>
          <w:tcPr>
            <w:tcW w:w="1720" w:type="dxa"/>
            <w:vAlign w:val="bottom"/>
          </w:tcPr>
          <w:p w14:paraId="3B5E4DB7" w14:textId="77777777" w:rsidR="006E7D7E" w:rsidRPr="00356C7F" w:rsidRDefault="006E7D7E" w:rsidP="00350DCE">
            <w:pPr>
              <w:spacing w:after="0"/>
              <w:rPr>
                <w:szCs w:val="24"/>
              </w:rPr>
            </w:pPr>
            <w:r w:rsidRPr="00356C7F">
              <w:rPr>
                <w:szCs w:val="24"/>
              </w:rPr>
              <w:t>3</w:t>
            </w:r>
          </w:p>
        </w:tc>
      </w:tr>
      <w:tr w:rsidR="006E7D7E" w:rsidRPr="003C282F" w14:paraId="6B409A33" w14:textId="77777777" w:rsidTr="00350DCE">
        <w:trPr>
          <w:trHeight w:val="360"/>
          <w:jc w:val="center"/>
        </w:trPr>
        <w:tc>
          <w:tcPr>
            <w:tcW w:w="2245" w:type="dxa"/>
            <w:vAlign w:val="bottom"/>
          </w:tcPr>
          <w:p w14:paraId="304278C8" w14:textId="1EC87316" w:rsidR="006E7D7E" w:rsidRDefault="006E7D7E" w:rsidP="00350DCE">
            <w:pPr>
              <w:spacing w:after="0"/>
              <w:rPr>
                <w:szCs w:val="24"/>
              </w:rPr>
            </w:pPr>
            <w:r>
              <w:rPr>
                <w:szCs w:val="24"/>
              </w:rPr>
              <w:t>Metal</w:t>
            </w:r>
          </w:p>
        </w:tc>
        <w:tc>
          <w:tcPr>
            <w:tcW w:w="1800" w:type="dxa"/>
            <w:vAlign w:val="bottom"/>
          </w:tcPr>
          <w:p w14:paraId="0120609C" w14:textId="08775010" w:rsidR="006E7D7E" w:rsidRPr="00356C7F" w:rsidRDefault="006E7D7E" w:rsidP="00350DCE">
            <w:pPr>
              <w:spacing w:after="0"/>
              <w:rPr>
                <w:szCs w:val="24"/>
              </w:rPr>
            </w:pPr>
            <w:r>
              <w:rPr>
                <w:szCs w:val="24"/>
              </w:rPr>
              <w:t>6</w:t>
            </w:r>
          </w:p>
        </w:tc>
        <w:tc>
          <w:tcPr>
            <w:tcW w:w="1800" w:type="dxa"/>
            <w:vAlign w:val="bottom"/>
          </w:tcPr>
          <w:p w14:paraId="3A5A5406" w14:textId="2C4A4008" w:rsidR="006E7D7E" w:rsidRPr="00356C7F" w:rsidRDefault="006E7D7E" w:rsidP="00350DCE">
            <w:pPr>
              <w:spacing w:after="0"/>
              <w:rPr>
                <w:szCs w:val="24"/>
              </w:rPr>
            </w:pPr>
            <w:r>
              <w:rPr>
                <w:szCs w:val="24"/>
              </w:rPr>
              <w:t>Dec. 31</w:t>
            </w:r>
            <w:r w:rsidR="00982DA9">
              <w:rPr>
                <w:szCs w:val="24"/>
              </w:rPr>
              <w:t>,</w:t>
            </w:r>
            <w:r>
              <w:rPr>
                <w:szCs w:val="24"/>
              </w:rPr>
              <w:t xml:space="preserve"> 2019</w:t>
            </w:r>
          </w:p>
        </w:tc>
        <w:tc>
          <w:tcPr>
            <w:tcW w:w="1817" w:type="dxa"/>
            <w:vAlign w:val="bottom"/>
          </w:tcPr>
          <w:p w14:paraId="365638C8" w14:textId="6E769F94" w:rsidR="006E7D7E" w:rsidRPr="00356C7F" w:rsidRDefault="006E7D7E" w:rsidP="00350DCE">
            <w:pPr>
              <w:spacing w:after="0"/>
              <w:rPr>
                <w:szCs w:val="24"/>
              </w:rPr>
            </w:pPr>
            <w:r>
              <w:rPr>
                <w:szCs w:val="24"/>
              </w:rPr>
              <w:t>5</w:t>
            </w:r>
          </w:p>
        </w:tc>
        <w:tc>
          <w:tcPr>
            <w:tcW w:w="1720" w:type="dxa"/>
            <w:vAlign w:val="bottom"/>
          </w:tcPr>
          <w:p w14:paraId="24CD18E4" w14:textId="5F09D595" w:rsidR="006E7D7E" w:rsidRPr="00356C7F" w:rsidRDefault="006E7D7E" w:rsidP="00350DCE">
            <w:pPr>
              <w:spacing w:after="0"/>
              <w:rPr>
                <w:szCs w:val="24"/>
              </w:rPr>
            </w:pPr>
            <w:r>
              <w:rPr>
                <w:szCs w:val="24"/>
              </w:rPr>
              <w:t>1</w:t>
            </w:r>
          </w:p>
        </w:tc>
      </w:tr>
      <w:tr w:rsidR="00982DA9" w:rsidRPr="003C282F" w14:paraId="146BC3EB" w14:textId="77777777" w:rsidTr="00350DCE">
        <w:trPr>
          <w:trHeight w:val="360"/>
          <w:jc w:val="center"/>
        </w:trPr>
        <w:tc>
          <w:tcPr>
            <w:tcW w:w="2245" w:type="dxa"/>
            <w:vAlign w:val="bottom"/>
          </w:tcPr>
          <w:p w14:paraId="6459CD3F" w14:textId="2F83875B" w:rsidR="00982DA9" w:rsidRDefault="00982DA9" w:rsidP="00350DCE">
            <w:pPr>
              <w:spacing w:after="0"/>
              <w:rPr>
                <w:szCs w:val="24"/>
              </w:rPr>
            </w:pPr>
            <w:r>
              <w:rPr>
                <w:szCs w:val="24"/>
              </w:rPr>
              <w:t>AB</w:t>
            </w:r>
          </w:p>
        </w:tc>
        <w:tc>
          <w:tcPr>
            <w:tcW w:w="1800" w:type="dxa"/>
            <w:vAlign w:val="bottom"/>
          </w:tcPr>
          <w:p w14:paraId="6423D81B" w14:textId="60D3BEE9" w:rsidR="00982DA9" w:rsidRDefault="00982DA9" w:rsidP="00350DCE">
            <w:pPr>
              <w:spacing w:after="0"/>
              <w:rPr>
                <w:szCs w:val="24"/>
              </w:rPr>
            </w:pPr>
            <w:r>
              <w:rPr>
                <w:szCs w:val="24"/>
              </w:rPr>
              <w:t>73</w:t>
            </w:r>
          </w:p>
        </w:tc>
        <w:tc>
          <w:tcPr>
            <w:tcW w:w="1800" w:type="dxa"/>
            <w:vAlign w:val="bottom"/>
          </w:tcPr>
          <w:p w14:paraId="4E266511" w14:textId="0A845F8F" w:rsidR="00982DA9" w:rsidRDefault="00982DA9" w:rsidP="00350DCE">
            <w:pPr>
              <w:spacing w:after="0"/>
              <w:rPr>
                <w:szCs w:val="24"/>
              </w:rPr>
            </w:pPr>
            <w:r>
              <w:rPr>
                <w:szCs w:val="24"/>
              </w:rPr>
              <w:t>Dec. 31, 2020</w:t>
            </w:r>
          </w:p>
        </w:tc>
        <w:tc>
          <w:tcPr>
            <w:tcW w:w="1817" w:type="dxa"/>
            <w:vAlign w:val="bottom"/>
          </w:tcPr>
          <w:p w14:paraId="32000E2D" w14:textId="0397F678" w:rsidR="00982DA9" w:rsidRDefault="00982DA9" w:rsidP="00350DCE">
            <w:pPr>
              <w:spacing w:after="0"/>
              <w:rPr>
                <w:szCs w:val="24"/>
              </w:rPr>
            </w:pPr>
            <w:r>
              <w:rPr>
                <w:szCs w:val="24"/>
              </w:rPr>
              <w:t>70</w:t>
            </w:r>
          </w:p>
        </w:tc>
        <w:tc>
          <w:tcPr>
            <w:tcW w:w="1720" w:type="dxa"/>
            <w:vAlign w:val="bottom"/>
          </w:tcPr>
          <w:p w14:paraId="472C9563" w14:textId="60EB8A8B" w:rsidR="00982DA9" w:rsidRDefault="00982DA9" w:rsidP="00350DCE">
            <w:pPr>
              <w:spacing w:after="0"/>
              <w:rPr>
                <w:szCs w:val="24"/>
              </w:rPr>
            </w:pPr>
            <w:r>
              <w:rPr>
                <w:szCs w:val="24"/>
              </w:rPr>
              <w:t>3</w:t>
            </w:r>
          </w:p>
        </w:tc>
      </w:tr>
      <w:tr w:rsidR="00982DA9" w:rsidRPr="003C282F" w14:paraId="5235B26D" w14:textId="77777777" w:rsidTr="00350DCE">
        <w:trPr>
          <w:trHeight w:val="360"/>
          <w:jc w:val="center"/>
        </w:trPr>
        <w:tc>
          <w:tcPr>
            <w:tcW w:w="2245" w:type="dxa"/>
            <w:vAlign w:val="bottom"/>
          </w:tcPr>
          <w:p w14:paraId="374A2D61" w14:textId="72D96CA1" w:rsidR="00982DA9" w:rsidRDefault="00982DA9" w:rsidP="00350DCE">
            <w:pPr>
              <w:spacing w:after="0"/>
              <w:rPr>
                <w:szCs w:val="24"/>
              </w:rPr>
            </w:pPr>
            <w:r>
              <w:rPr>
                <w:szCs w:val="24"/>
              </w:rPr>
              <w:t>Metal</w:t>
            </w:r>
          </w:p>
        </w:tc>
        <w:tc>
          <w:tcPr>
            <w:tcW w:w="1800" w:type="dxa"/>
            <w:vAlign w:val="bottom"/>
          </w:tcPr>
          <w:p w14:paraId="33BBC06D" w14:textId="0CF7318A" w:rsidR="00982DA9" w:rsidRDefault="00982DA9" w:rsidP="00350DCE">
            <w:pPr>
              <w:spacing w:after="0"/>
              <w:rPr>
                <w:szCs w:val="24"/>
              </w:rPr>
            </w:pPr>
            <w:r>
              <w:rPr>
                <w:szCs w:val="24"/>
              </w:rPr>
              <w:t>5</w:t>
            </w:r>
          </w:p>
        </w:tc>
        <w:tc>
          <w:tcPr>
            <w:tcW w:w="1800" w:type="dxa"/>
            <w:vAlign w:val="bottom"/>
          </w:tcPr>
          <w:p w14:paraId="44D1D570" w14:textId="5E8BA87A" w:rsidR="00982DA9" w:rsidRDefault="00982DA9" w:rsidP="00350DCE">
            <w:pPr>
              <w:spacing w:after="0"/>
              <w:rPr>
                <w:szCs w:val="24"/>
              </w:rPr>
            </w:pPr>
            <w:r>
              <w:rPr>
                <w:szCs w:val="24"/>
              </w:rPr>
              <w:t>Dec. 31, 2020</w:t>
            </w:r>
          </w:p>
        </w:tc>
        <w:tc>
          <w:tcPr>
            <w:tcW w:w="1817" w:type="dxa"/>
            <w:vAlign w:val="bottom"/>
          </w:tcPr>
          <w:p w14:paraId="40F5FA3C" w14:textId="6BE76E4C" w:rsidR="00982DA9" w:rsidRDefault="00982DA9" w:rsidP="00350DCE">
            <w:pPr>
              <w:spacing w:after="0"/>
              <w:rPr>
                <w:szCs w:val="24"/>
              </w:rPr>
            </w:pPr>
            <w:r>
              <w:rPr>
                <w:szCs w:val="24"/>
              </w:rPr>
              <w:t>4</w:t>
            </w:r>
          </w:p>
        </w:tc>
        <w:tc>
          <w:tcPr>
            <w:tcW w:w="1720" w:type="dxa"/>
            <w:vAlign w:val="bottom"/>
          </w:tcPr>
          <w:p w14:paraId="378DB3C1" w14:textId="614602B9" w:rsidR="00982DA9" w:rsidRDefault="00982DA9" w:rsidP="00350DCE">
            <w:pPr>
              <w:spacing w:after="0"/>
              <w:rPr>
                <w:szCs w:val="24"/>
              </w:rPr>
            </w:pPr>
            <w:r>
              <w:rPr>
                <w:szCs w:val="24"/>
              </w:rPr>
              <w:t>1</w:t>
            </w:r>
          </w:p>
        </w:tc>
      </w:tr>
      <w:tr w:rsidR="006E7D7E" w:rsidRPr="003C282F" w14:paraId="3CBD89CA" w14:textId="77777777" w:rsidTr="00350DCE">
        <w:trPr>
          <w:trHeight w:val="360"/>
          <w:jc w:val="center"/>
        </w:trPr>
        <w:tc>
          <w:tcPr>
            <w:tcW w:w="7662" w:type="dxa"/>
            <w:gridSpan w:val="4"/>
            <w:vAlign w:val="bottom"/>
          </w:tcPr>
          <w:p w14:paraId="2052D1DD" w14:textId="6C4999B1" w:rsidR="006E7D7E" w:rsidRPr="003C282F" w:rsidRDefault="006E7D7E" w:rsidP="00350DCE">
            <w:pPr>
              <w:spacing w:after="0"/>
              <w:rPr>
                <w:b/>
                <w:szCs w:val="24"/>
              </w:rPr>
            </w:pPr>
            <w:r w:rsidRPr="003C282F">
              <w:rPr>
                <w:b/>
                <w:szCs w:val="24"/>
              </w:rPr>
              <w:t>Total emission credits lost due to three percent reductions:</w:t>
            </w:r>
          </w:p>
        </w:tc>
        <w:tc>
          <w:tcPr>
            <w:tcW w:w="1720" w:type="dxa"/>
            <w:vAlign w:val="bottom"/>
          </w:tcPr>
          <w:p w14:paraId="2449C2A9" w14:textId="5E11D831" w:rsidR="006E7D7E" w:rsidRPr="003C282F" w:rsidRDefault="00982DA9" w:rsidP="00350DCE">
            <w:pPr>
              <w:spacing w:after="0"/>
              <w:rPr>
                <w:b/>
                <w:szCs w:val="24"/>
              </w:rPr>
            </w:pPr>
            <w:r>
              <w:rPr>
                <w:b/>
                <w:szCs w:val="24"/>
              </w:rPr>
              <w:t>24</w:t>
            </w:r>
            <w:r w:rsidR="006E7D7E" w:rsidRPr="003C282F">
              <w:rPr>
                <w:b/>
                <w:szCs w:val="24"/>
              </w:rPr>
              <w:t>.06</w:t>
            </w:r>
          </w:p>
        </w:tc>
      </w:tr>
    </w:tbl>
    <w:p w14:paraId="4E5BCD4B" w14:textId="47EB671E" w:rsidR="00AD34DF" w:rsidRPr="005D37FE" w:rsidRDefault="005D37FE" w:rsidP="005C0A0A">
      <w:pPr>
        <w:spacing w:after="0"/>
        <w:rPr>
          <w:szCs w:val="24"/>
        </w:rPr>
      </w:pPr>
      <w:r>
        <w:rPr>
          <w:szCs w:val="24"/>
        </w:rPr>
        <w:t>*165 credits transferred from AB to Metal Containers. 158 ERCs used in construction permits.</w:t>
      </w:r>
    </w:p>
    <w:p w14:paraId="61038023" w14:textId="31DB3E85" w:rsidR="006B4433" w:rsidRDefault="006B4433">
      <w:pPr>
        <w:spacing w:after="0"/>
        <w:rPr>
          <w:szCs w:val="24"/>
        </w:rPr>
      </w:pPr>
    </w:p>
    <w:p w14:paraId="42FA4BFC" w14:textId="77777777" w:rsidR="00350DCE" w:rsidRDefault="00350DCE">
      <w:pPr>
        <w:spacing w:after="0"/>
        <w:rPr>
          <w:szCs w:val="24"/>
        </w:rPr>
      </w:pPr>
    </w:p>
    <w:p w14:paraId="38EBD8EF" w14:textId="4AA0329B" w:rsidR="00A64DE8" w:rsidRPr="00356C7F" w:rsidRDefault="00A64DE8">
      <w:pPr>
        <w:keepNext/>
        <w:keepLines/>
        <w:spacing w:after="0"/>
        <w:ind w:left="360"/>
        <w:outlineLvl w:val="0"/>
        <w:rPr>
          <w:rFonts w:eastAsiaTheme="majorEastAsia"/>
          <w:b/>
          <w:szCs w:val="24"/>
        </w:rPr>
      </w:pPr>
      <w:r w:rsidRPr="00356C7F">
        <w:rPr>
          <w:rFonts w:eastAsiaTheme="majorEastAsia"/>
          <w:b/>
          <w:szCs w:val="24"/>
        </w:rPr>
        <w:t>Conclusion</w:t>
      </w:r>
    </w:p>
    <w:p w14:paraId="06B9EA83" w14:textId="77777777" w:rsidR="00B75066" w:rsidRDefault="00B75066">
      <w:pPr>
        <w:spacing w:after="0"/>
        <w:rPr>
          <w:szCs w:val="24"/>
        </w:rPr>
      </w:pPr>
    </w:p>
    <w:p w14:paraId="0B404A4D" w14:textId="25A5D58B" w:rsidR="00F5684C" w:rsidRPr="003C282F" w:rsidRDefault="00F5684C">
      <w:pPr>
        <w:spacing w:after="0"/>
        <w:rPr>
          <w:szCs w:val="24"/>
        </w:rPr>
      </w:pPr>
      <w:r w:rsidRPr="003C282F">
        <w:rPr>
          <w:szCs w:val="24"/>
        </w:rPr>
        <w:t xml:space="preserve">The reductions associated with </w:t>
      </w:r>
      <w:r w:rsidR="00B75066">
        <w:rPr>
          <w:szCs w:val="24"/>
        </w:rPr>
        <w:t>the</w:t>
      </w:r>
      <w:r w:rsidRPr="003C282F">
        <w:rPr>
          <w:szCs w:val="24"/>
        </w:rPr>
        <w:t xml:space="preserve"> DERA grant and the state’s emissions banking and trading rule are adequate to demonstrate that current and permanent emission reductions in the area are greater than the emissions </w:t>
      </w:r>
      <w:r>
        <w:rPr>
          <w:szCs w:val="24"/>
        </w:rPr>
        <w:t>attributable to</w:t>
      </w:r>
      <w:r w:rsidRPr="003C282F">
        <w:rPr>
          <w:szCs w:val="24"/>
        </w:rPr>
        <w:t xml:space="preserve"> GVIP in Boles </w:t>
      </w:r>
      <w:proofErr w:type="gramStart"/>
      <w:r w:rsidRPr="003C282F">
        <w:rPr>
          <w:szCs w:val="24"/>
        </w:rPr>
        <w:t>township</w:t>
      </w:r>
      <w:proofErr w:type="gramEnd"/>
      <w:r w:rsidRPr="003C282F">
        <w:rPr>
          <w:szCs w:val="24"/>
        </w:rPr>
        <w:t xml:space="preserve">. </w:t>
      </w:r>
    </w:p>
    <w:p w14:paraId="513C0E25" w14:textId="77777777" w:rsidR="00F5684C" w:rsidRPr="003C282F" w:rsidRDefault="00F5684C">
      <w:pPr>
        <w:spacing w:after="0"/>
        <w:rPr>
          <w:szCs w:val="24"/>
        </w:rPr>
      </w:pPr>
    </w:p>
    <w:tbl>
      <w:tblPr>
        <w:tblStyle w:val="TableGrid"/>
        <w:tblW w:w="0" w:type="auto"/>
        <w:jc w:val="center"/>
        <w:tblLook w:val="04A0" w:firstRow="1" w:lastRow="0" w:firstColumn="1" w:lastColumn="0" w:noHBand="0" w:noVBand="1"/>
      </w:tblPr>
      <w:tblGrid>
        <w:gridCol w:w="3955"/>
        <w:gridCol w:w="2160"/>
        <w:gridCol w:w="1980"/>
      </w:tblGrid>
      <w:tr w:rsidR="00B75066" w14:paraId="192D1335" w14:textId="77777777" w:rsidTr="00871849">
        <w:trPr>
          <w:jc w:val="center"/>
        </w:trPr>
        <w:tc>
          <w:tcPr>
            <w:tcW w:w="3955" w:type="dxa"/>
            <w:shd w:val="clear" w:color="auto" w:fill="BFBFBF" w:themeFill="background1" w:themeFillShade="BF"/>
          </w:tcPr>
          <w:p w14:paraId="316D72F9" w14:textId="77777777" w:rsidR="00B75066" w:rsidRDefault="00B75066">
            <w:pPr>
              <w:spacing w:after="0"/>
              <w:rPr>
                <w:szCs w:val="24"/>
              </w:rPr>
            </w:pPr>
            <w:r>
              <w:rPr>
                <w:szCs w:val="24"/>
              </w:rPr>
              <w:t xml:space="preserve">Action Description </w:t>
            </w:r>
          </w:p>
        </w:tc>
        <w:tc>
          <w:tcPr>
            <w:tcW w:w="4140" w:type="dxa"/>
            <w:gridSpan w:val="2"/>
            <w:shd w:val="clear" w:color="auto" w:fill="BFBFBF" w:themeFill="background1" w:themeFillShade="BF"/>
          </w:tcPr>
          <w:p w14:paraId="4EE097D1" w14:textId="77777777" w:rsidR="00B75066" w:rsidRDefault="00B75066">
            <w:pPr>
              <w:spacing w:after="0"/>
              <w:jc w:val="center"/>
              <w:rPr>
                <w:szCs w:val="24"/>
              </w:rPr>
            </w:pPr>
            <w:r>
              <w:rPr>
                <w:szCs w:val="24"/>
              </w:rPr>
              <w:t>Emissions (Tons)</w:t>
            </w:r>
          </w:p>
        </w:tc>
      </w:tr>
      <w:tr w:rsidR="00B75066" w14:paraId="329E37D7" w14:textId="77777777" w:rsidTr="00871849">
        <w:trPr>
          <w:jc w:val="center"/>
        </w:trPr>
        <w:tc>
          <w:tcPr>
            <w:tcW w:w="3955" w:type="dxa"/>
          </w:tcPr>
          <w:p w14:paraId="71468967" w14:textId="77777777" w:rsidR="00B75066" w:rsidRDefault="00B75066" w:rsidP="005C0A0A">
            <w:pPr>
              <w:spacing w:after="0"/>
              <w:rPr>
                <w:szCs w:val="24"/>
              </w:rPr>
            </w:pPr>
            <w:r>
              <w:rPr>
                <w:szCs w:val="24"/>
              </w:rPr>
              <w:t>DERA emission reduction</w:t>
            </w:r>
          </w:p>
        </w:tc>
        <w:tc>
          <w:tcPr>
            <w:tcW w:w="2160" w:type="dxa"/>
          </w:tcPr>
          <w:p w14:paraId="3A123A9D" w14:textId="77777777" w:rsidR="00B75066" w:rsidRDefault="00B75066">
            <w:pPr>
              <w:spacing w:after="0"/>
              <w:jc w:val="center"/>
              <w:rPr>
                <w:szCs w:val="24"/>
              </w:rPr>
            </w:pPr>
            <w:r>
              <w:rPr>
                <w:szCs w:val="24"/>
              </w:rPr>
              <w:t>4.65</w:t>
            </w:r>
          </w:p>
        </w:tc>
        <w:tc>
          <w:tcPr>
            <w:tcW w:w="1980" w:type="dxa"/>
          </w:tcPr>
          <w:p w14:paraId="685F7F29" w14:textId="77777777" w:rsidR="00B75066" w:rsidRDefault="00B75066">
            <w:pPr>
              <w:spacing w:after="0"/>
              <w:jc w:val="center"/>
              <w:rPr>
                <w:szCs w:val="24"/>
              </w:rPr>
            </w:pPr>
          </w:p>
        </w:tc>
      </w:tr>
      <w:tr w:rsidR="00B75066" w14:paraId="6BD8AB09" w14:textId="77777777" w:rsidTr="00871849">
        <w:trPr>
          <w:jc w:val="center"/>
        </w:trPr>
        <w:tc>
          <w:tcPr>
            <w:tcW w:w="3955" w:type="dxa"/>
          </w:tcPr>
          <w:p w14:paraId="7AD0F4D0" w14:textId="77777777" w:rsidR="00B75066" w:rsidRDefault="00B75066" w:rsidP="005C0A0A">
            <w:pPr>
              <w:spacing w:after="0"/>
              <w:rPr>
                <w:szCs w:val="24"/>
              </w:rPr>
            </w:pPr>
            <w:r>
              <w:rPr>
                <w:szCs w:val="24"/>
              </w:rPr>
              <w:t xml:space="preserve">ERCs emission reduction </w:t>
            </w:r>
          </w:p>
        </w:tc>
        <w:tc>
          <w:tcPr>
            <w:tcW w:w="2160" w:type="dxa"/>
          </w:tcPr>
          <w:p w14:paraId="3D4CDB3B" w14:textId="08673379" w:rsidR="00B75066" w:rsidRDefault="00B75066" w:rsidP="00982DA9">
            <w:pPr>
              <w:spacing w:after="0"/>
              <w:jc w:val="center"/>
              <w:rPr>
                <w:szCs w:val="24"/>
              </w:rPr>
            </w:pPr>
            <w:r>
              <w:rPr>
                <w:szCs w:val="24"/>
              </w:rPr>
              <w:t>2</w:t>
            </w:r>
            <w:r w:rsidR="00982DA9">
              <w:rPr>
                <w:szCs w:val="24"/>
              </w:rPr>
              <w:t>4</w:t>
            </w:r>
            <w:r>
              <w:rPr>
                <w:szCs w:val="24"/>
              </w:rPr>
              <w:t>.06</w:t>
            </w:r>
          </w:p>
        </w:tc>
        <w:tc>
          <w:tcPr>
            <w:tcW w:w="1980" w:type="dxa"/>
          </w:tcPr>
          <w:p w14:paraId="48833017" w14:textId="77777777" w:rsidR="00B75066" w:rsidRDefault="00B75066">
            <w:pPr>
              <w:spacing w:after="0"/>
              <w:jc w:val="center"/>
              <w:rPr>
                <w:szCs w:val="24"/>
              </w:rPr>
            </w:pPr>
          </w:p>
        </w:tc>
      </w:tr>
      <w:tr w:rsidR="00B75066" w14:paraId="2FA6B3C8" w14:textId="77777777" w:rsidTr="00871849">
        <w:trPr>
          <w:jc w:val="center"/>
        </w:trPr>
        <w:tc>
          <w:tcPr>
            <w:tcW w:w="3955" w:type="dxa"/>
          </w:tcPr>
          <w:p w14:paraId="72265973" w14:textId="77777777" w:rsidR="00B75066" w:rsidRDefault="00B75066" w:rsidP="005C0A0A">
            <w:pPr>
              <w:spacing w:after="0"/>
              <w:rPr>
                <w:szCs w:val="24"/>
              </w:rPr>
            </w:pPr>
            <w:r>
              <w:rPr>
                <w:szCs w:val="24"/>
              </w:rPr>
              <w:t>Emission Reduction Equivalent Total</w:t>
            </w:r>
          </w:p>
        </w:tc>
        <w:tc>
          <w:tcPr>
            <w:tcW w:w="2160" w:type="dxa"/>
          </w:tcPr>
          <w:p w14:paraId="4442813F" w14:textId="13B4A32D" w:rsidR="00B75066" w:rsidRDefault="00B75066" w:rsidP="00982DA9">
            <w:pPr>
              <w:spacing w:after="0"/>
              <w:jc w:val="center"/>
              <w:rPr>
                <w:szCs w:val="24"/>
              </w:rPr>
            </w:pPr>
            <w:r>
              <w:rPr>
                <w:szCs w:val="24"/>
              </w:rPr>
              <w:t>2</w:t>
            </w:r>
            <w:r w:rsidR="00982DA9">
              <w:rPr>
                <w:szCs w:val="24"/>
              </w:rPr>
              <w:t>8</w:t>
            </w:r>
            <w:r>
              <w:rPr>
                <w:szCs w:val="24"/>
              </w:rPr>
              <w:t>.71</w:t>
            </w:r>
          </w:p>
        </w:tc>
        <w:tc>
          <w:tcPr>
            <w:tcW w:w="1980" w:type="dxa"/>
          </w:tcPr>
          <w:p w14:paraId="46651A17" w14:textId="77777777" w:rsidR="00B75066" w:rsidRDefault="00B75066">
            <w:pPr>
              <w:spacing w:after="0"/>
              <w:jc w:val="center"/>
              <w:rPr>
                <w:szCs w:val="24"/>
              </w:rPr>
            </w:pPr>
          </w:p>
        </w:tc>
      </w:tr>
      <w:tr w:rsidR="00B75066" w14:paraId="13E6C33B" w14:textId="77777777" w:rsidTr="00871849">
        <w:trPr>
          <w:jc w:val="center"/>
        </w:trPr>
        <w:tc>
          <w:tcPr>
            <w:tcW w:w="3955" w:type="dxa"/>
          </w:tcPr>
          <w:p w14:paraId="294BC7D0" w14:textId="77777777" w:rsidR="00B75066" w:rsidRDefault="00B75066" w:rsidP="005C0A0A">
            <w:pPr>
              <w:spacing w:after="0"/>
              <w:rPr>
                <w:szCs w:val="24"/>
              </w:rPr>
            </w:pPr>
            <w:r>
              <w:rPr>
                <w:szCs w:val="24"/>
              </w:rPr>
              <w:t>GVIP emissions in Boles Township</w:t>
            </w:r>
          </w:p>
        </w:tc>
        <w:tc>
          <w:tcPr>
            <w:tcW w:w="2160" w:type="dxa"/>
          </w:tcPr>
          <w:p w14:paraId="5B3D4D54" w14:textId="77777777" w:rsidR="00B75066" w:rsidRDefault="00B75066">
            <w:pPr>
              <w:spacing w:after="0"/>
              <w:jc w:val="center"/>
              <w:rPr>
                <w:szCs w:val="24"/>
              </w:rPr>
            </w:pPr>
          </w:p>
        </w:tc>
        <w:tc>
          <w:tcPr>
            <w:tcW w:w="1980" w:type="dxa"/>
          </w:tcPr>
          <w:p w14:paraId="59CC7664" w14:textId="77777777" w:rsidR="00B75066" w:rsidRDefault="00B75066">
            <w:pPr>
              <w:spacing w:after="0"/>
              <w:jc w:val="center"/>
              <w:rPr>
                <w:szCs w:val="24"/>
              </w:rPr>
            </w:pPr>
            <w:r>
              <w:rPr>
                <w:szCs w:val="24"/>
              </w:rPr>
              <w:t>21.84</w:t>
            </w:r>
          </w:p>
        </w:tc>
      </w:tr>
      <w:tr w:rsidR="00B75066" w14:paraId="0953CBFA" w14:textId="77777777" w:rsidTr="00871849">
        <w:trPr>
          <w:jc w:val="center"/>
        </w:trPr>
        <w:tc>
          <w:tcPr>
            <w:tcW w:w="3955" w:type="dxa"/>
          </w:tcPr>
          <w:p w14:paraId="16DC6D4D" w14:textId="77777777" w:rsidR="00B75066" w:rsidRDefault="00B75066" w:rsidP="005C0A0A">
            <w:pPr>
              <w:spacing w:after="0"/>
              <w:rPr>
                <w:szCs w:val="24"/>
              </w:rPr>
            </w:pPr>
            <w:r>
              <w:rPr>
                <w:szCs w:val="24"/>
              </w:rPr>
              <w:t xml:space="preserve"> Difference in emissions</w:t>
            </w:r>
          </w:p>
        </w:tc>
        <w:tc>
          <w:tcPr>
            <w:tcW w:w="4140" w:type="dxa"/>
            <w:gridSpan w:val="2"/>
          </w:tcPr>
          <w:p w14:paraId="10CC5133" w14:textId="50DA5879" w:rsidR="00B75066" w:rsidRDefault="00982DA9">
            <w:pPr>
              <w:spacing w:after="0"/>
              <w:jc w:val="center"/>
              <w:rPr>
                <w:szCs w:val="24"/>
              </w:rPr>
            </w:pPr>
            <w:r>
              <w:rPr>
                <w:szCs w:val="24"/>
              </w:rPr>
              <w:t>6</w:t>
            </w:r>
            <w:r w:rsidR="00B75066">
              <w:rPr>
                <w:szCs w:val="24"/>
              </w:rPr>
              <w:t>.87 surplus</w:t>
            </w:r>
          </w:p>
        </w:tc>
      </w:tr>
    </w:tbl>
    <w:p w14:paraId="243B8BE8" w14:textId="77777777" w:rsidR="00F5684C" w:rsidRDefault="00F5684C">
      <w:pPr>
        <w:autoSpaceDE w:val="0"/>
        <w:autoSpaceDN w:val="0"/>
        <w:adjustRightInd w:val="0"/>
        <w:spacing w:after="0"/>
        <w:rPr>
          <w:szCs w:val="24"/>
        </w:rPr>
      </w:pPr>
    </w:p>
    <w:p w14:paraId="491A396D" w14:textId="39CA3F7D" w:rsidR="00343D2E" w:rsidRPr="00356C7F" w:rsidRDefault="00343D2E">
      <w:pPr>
        <w:autoSpaceDE w:val="0"/>
        <w:autoSpaceDN w:val="0"/>
        <w:adjustRightInd w:val="0"/>
        <w:spacing w:after="0"/>
        <w:rPr>
          <w:szCs w:val="24"/>
        </w:rPr>
      </w:pPr>
      <w:r w:rsidRPr="00356C7F">
        <w:rPr>
          <w:szCs w:val="24"/>
        </w:rPr>
        <w:t>Th</w:t>
      </w:r>
      <w:r w:rsidR="00DB41B3" w:rsidRPr="00356C7F">
        <w:rPr>
          <w:szCs w:val="24"/>
        </w:rPr>
        <w:t>is</w:t>
      </w:r>
      <w:r w:rsidRPr="00356C7F">
        <w:rPr>
          <w:szCs w:val="24"/>
        </w:rPr>
        <w:t xml:space="preserve"> </w:t>
      </w:r>
      <w:r w:rsidR="00DB41B3" w:rsidRPr="00356C7F">
        <w:rPr>
          <w:szCs w:val="24"/>
        </w:rPr>
        <w:t xml:space="preserve">document has provided </w:t>
      </w:r>
      <w:r w:rsidRPr="00356C7F">
        <w:rPr>
          <w:szCs w:val="24"/>
        </w:rPr>
        <w:t xml:space="preserve">an </w:t>
      </w:r>
      <w:r w:rsidR="00DB41B3" w:rsidRPr="00356C7F">
        <w:rPr>
          <w:szCs w:val="24"/>
        </w:rPr>
        <w:t xml:space="preserve">analysis demonstrating </w:t>
      </w:r>
      <w:r w:rsidRPr="00356C7F">
        <w:rPr>
          <w:szCs w:val="24"/>
        </w:rPr>
        <w:t>equivalent emission reduction</w:t>
      </w:r>
      <w:r w:rsidR="00DB41B3" w:rsidRPr="00356C7F">
        <w:rPr>
          <w:szCs w:val="24"/>
        </w:rPr>
        <w:t>s</w:t>
      </w:r>
      <w:r w:rsidRPr="00356C7F">
        <w:rPr>
          <w:szCs w:val="24"/>
        </w:rPr>
        <w:t xml:space="preserve"> </w:t>
      </w:r>
      <w:r w:rsidR="00DB41B3" w:rsidRPr="00356C7F">
        <w:rPr>
          <w:szCs w:val="24"/>
        </w:rPr>
        <w:t xml:space="preserve">supporting </w:t>
      </w:r>
      <w:r w:rsidRPr="00356C7F">
        <w:rPr>
          <w:szCs w:val="24"/>
        </w:rPr>
        <w:t>the removal of GVIP in Boles Township, which is part of the 2015 ozone St. Louis nonattainment area</w:t>
      </w:r>
      <w:r w:rsidR="00DB41B3" w:rsidRPr="00356C7F">
        <w:rPr>
          <w:szCs w:val="24"/>
        </w:rPr>
        <w:t xml:space="preserve">, and </w:t>
      </w:r>
      <w:r w:rsidRPr="00356C7F">
        <w:rPr>
          <w:szCs w:val="24"/>
        </w:rPr>
        <w:t xml:space="preserve">that the removal of GVIP requirements in Boles Township complies with Section 110(l) of the </w:t>
      </w:r>
      <w:r w:rsidR="00DB41B3" w:rsidRPr="00356C7F">
        <w:rPr>
          <w:szCs w:val="24"/>
        </w:rPr>
        <w:t>CAA</w:t>
      </w:r>
      <w:r w:rsidRPr="00356C7F">
        <w:rPr>
          <w:szCs w:val="24"/>
        </w:rPr>
        <w:t xml:space="preserve">. Removal of GVIP from Boles Township will not impact attainment for any </w:t>
      </w:r>
      <w:bookmarkStart w:id="2" w:name="_GoBack"/>
      <w:bookmarkEnd w:id="2"/>
      <w:r w:rsidRPr="00356C7F">
        <w:rPr>
          <w:szCs w:val="24"/>
        </w:rPr>
        <w:t>NAAQS, including the 2015 ozone standard</w:t>
      </w:r>
      <w:r w:rsidR="00F5684C">
        <w:rPr>
          <w:szCs w:val="24"/>
        </w:rPr>
        <w:t>, and</w:t>
      </w:r>
      <w:r w:rsidR="00461AB4" w:rsidRPr="00356C7F">
        <w:rPr>
          <w:szCs w:val="24"/>
        </w:rPr>
        <w:t xml:space="preserve"> will not negatively affect </w:t>
      </w:r>
      <w:r w:rsidR="00461AB4" w:rsidRPr="003C282F">
        <w:rPr>
          <w:szCs w:val="24"/>
        </w:rPr>
        <w:t>overall emission reductions in the 2015 ozone St. Louis nonattainment area.</w:t>
      </w:r>
    </w:p>
    <w:p w14:paraId="2BCD6210" w14:textId="77777777" w:rsidR="00343D2E" w:rsidRPr="00356C7F" w:rsidRDefault="00343D2E">
      <w:pPr>
        <w:autoSpaceDE w:val="0"/>
        <w:autoSpaceDN w:val="0"/>
        <w:adjustRightInd w:val="0"/>
        <w:spacing w:after="0"/>
        <w:rPr>
          <w:szCs w:val="24"/>
        </w:rPr>
      </w:pPr>
    </w:p>
    <w:p w14:paraId="54EC4580" w14:textId="154252B1" w:rsidR="003B75CC" w:rsidRPr="003C282F" w:rsidRDefault="00227BF7">
      <w:pPr>
        <w:spacing w:after="0"/>
        <w:rPr>
          <w:szCs w:val="24"/>
        </w:rPr>
      </w:pPr>
      <w:r w:rsidRPr="003C282F">
        <w:rPr>
          <w:szCs w:val="24"/>
        </w:rPr>
        <w:t>Th</w:t>
      </w:r>
      <w:r w:rsidR="00DB41B3" w:rsidRPr="00356C7F">
        <w:rPr>
          <w:szCs w:val="24"/>
        </w:rPr>
        <w:t>is</w:t>
      </w:r>
      <w:r w:rsidRPr="003C282F">
        <w:rPr>
          <w:szCs w:val="24"/>
        </w:rPr>
        <w:t xml:space="preserve"> demonstration combined </w:t>
      </w:r>
      <w:r w:rsidR="00DB41B3" w:rsidRPr="00356C7F">
        <w:rPr>
          <w:szCs w:val="24"/>
        </w:rPr>
        <w:t>wit</w:t>
      </w:r>
      <w:r w:rsidRPr="003C282F">
        <w:rPr>
          <w:szCs w:val="24"/>
        </w:rPr>
        <w:t xml:space="preserve">h the 2019 </w:t>
      </w:r>
      <w:r w:rsidR="00107BD3">
        <w:rPr>
          <w:szCs w:val="24"/>
        </w:rPr>
        <w:t>I/M Plan R</w:t>
      </w:r>
      <w:r w:rsidRPr="003C282F">
        <w:rPr>
          <w:szCs w:val="24"/>
        </w:rPr>
        <w:t>evision ensure</w:t>
      </w:r>
      <w:r w:rsidR="00107BD3">
        <w:rPr>
          <w:szCs w:val="24"/>
        </w:rPr>
        <w:t>s</w:t>
      </w:r>
      <w:r w:rsidRPr="003C282F">
        <w:rPr>
          <w:szCs w:val="24"/>
        </w:rPr>
        <w:t xml:space="preserve"> that </w:t>
      </w:r>
      <w:r w:rsidR="00343D2E" w:rsidRPr="00356C7F">
        <w:rPr>
          <w:szCs w:val="24"/>
        </w:rPr>
        <w:t xml:space="preserve">the </w:t>
      </w:r>
      <w:r w:rsidRPr="003C282F">
        <w:rPr>
          <w:szCs w:val="24"/>
        </w:rPr>
        <w:t>remov</w:t>
      </w:r>
      <w:r w:rsidR="00343D2E" w:rsidRPr="00356C7F">
        <w:rPr>
          <w:szCs w:val="24"/>
        </w:rPr>
        <w:t>al of</w:t>
      </w:r>
      <w:r w:rsidR="009110B1" w:rsidRPr="00356C7F">
        <w:rPr>
          <w:szCs w:val="24"/>
        </w:rPr>
        <w:t xml:space="preserve"> </w:t>
      </w:r>
      <w:r w:rsidRPr="003C282F">
        <w:rPr>
          <w:szCs w:val="24"/>
        </w:rPr>
        <w:t xml:space="preserve">GVIP requirements </w:t>
      </w:r>
      <w:r w:rsidR="00DB41B3" w:rsidRPr="00356C7F">
        <w:rPr>
          <w:szCs w:val="24"/>
        </w:rPr>
        <w:t xml:space="preserve">for Franklin (including Boles Township) and Jefferson counties </w:t>
      </w:r>
      <w:r w:rsidRPr="003C282F">
        <w:rPr>
          <w:szCs w:val="24"/>
        </w:rPr>
        <w:t xml:space="preserve">from </w:t>
      </w:r>
      <w:r w:rsidR="00DB41B3" w:rsidRPr="00356C7F">
        <w:rPr>
          <w:szCs w:val="24"/>
        </w:rPr>
        <w:t xml:space="preserve">the </w:t>
      </w:r>
      <w:r w:rsidRPr="003C282F">
        <w:rPr>
          <w:szCs w:val="24"/>
        </w:rPr>
        <w:t>Missouri SIP compl</w:t>
      </w:r>
      <w:r w:rsidR="00107BD3">
        <w:rPr>
          <w:szCs w:val="24"/>
        </w:rPr>
        <w:t>ies</w:t>
      </w:r>
      <w:r w:rsidRPr="003C282F">
        <w:rPr>
          <w:szCs w:val="24"/>
        </w:rPr>
        <w:t xml:space="preserve"> with Clean Air Act Section 110(l). This demonstration and the accompanying amendment to 10 CSR 10-5.381 to remove </w:t>
      </w:r>
      <w:r w:rsidR="00DB41B3" w:rsidRPr="00356C7F">
        <w:rPr>
          <w:szCs w:val="24"/>
        </w:rPr>
        <w:t>Franklin and Jefferson</w:t>
      </w:r>
      <w:r w:rsidRPr="003C282F">
        <w:rPr>
          <w:szCs w:val="24"/>
        </w:rPr>
        <w:t xml:space="preserve"> counties from the applicability </w:t>
      </w:r>
      <w:r w:rsidRPr="003C282F">
        <w:rPr>
          <w:szCs w:val="24"/>
        </w:rPr>
        <w:lastRenderedPageBreak/>
        <w:t xml:space="preserve">section of the rule satisfies EPA’s conditions for approval of the </w:t>
      </w:r>
      <w:r w:rsidR="00343D2E" w:rsidRPr="00356C7F">
        <w:rPr>
          <w:szCs w:val="24"/>
        </w:rPr>
        <w:t xml:space="preserve">previously submitted </w:t>
      </w:r>
      <w:r w:rsidRPr="003C282F">
        <w:rPr>
          <w:szCs w:val="24"/>
        </w:rPr>
        <w:t xml:space="preserve">2019 </w:t>
      </w:r>
      <w:proofErr w:type="gramStart"/>
      <w:r w:rsidR="00107BD3">
        <w:rPr>
          <w:szCs w:val="24"/>
        </w:rPr>
        <w:t>I/M</w:t>
      </w:r>
      <w:proofErr w:type="gramEnd"/>
      <w:r w:rsidR="00107BD3">
        <w:rPr>
          <w:szCs w:val="24"/>
        </w:rPr>
        <w:t xml:space="preserve"> Plan R</w:t>
      </w:r>
      <w:r w:rsidRPr="003C282F">
        <w:rPr>
          <w:szCs w:val="24"/>
        </w:rPr>
        <w:t>evision.</w:t>
      </w:r>
    </w:p>
    <w:sectPr w:rsidR="003B75CC" w:rsidRPr="003C282F" w:rsidSect="0008751A">
      <w:footerReference w:type="default" r:id="rId10"/>
      <w:pgSz w:w="12240" w:h="15840"/>
      <w:pgMar w:top="1350" w:right="1440" w:bottom="17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697C4" w14:textId="77777777" w:rsidR="0034781E" w:rsidRDefault="0034781E" w:rsidP="002C4298">
      <w:pPr>
        <w:spacing w:after="0"/>
      </w:pPr>
      <w:r>
        <w:separator/>
      </w:r>
    </w:p>
  </w:endnote>
  <w:endnote w:type="continuationSeparator" w:id="0">
    <w:p w14:paraId="23996584" w14:textId="77777777" w:rsidR="0034781E" w:rsidRDefault="0034781E" w:rsidP="002C42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025119"/>
      <w:docPartObj>
        <w:docPartGallery w:val="Page Numbers (Bottom of Page)"/>
        <w:docPartUnique/>
      </w:docPartObj>
    </w:sdtPr>
    <w:sdtEndPr>
      <w:rPr>
        <w:noProof/>
      </w:rPr>
    </w:sdtEndPr>
    <w:sdtContent>
      <w:p w14:paraId="00830D91" w14:textId="3E1A6484" w:rsidR="00C9571F" w:rsidRDefault="00C9571F">
        <w:pPr>
          <w:pStyle w:val="Footer"/>
          <w:jc w:val="center"/>
        </w:pPr>
        <w:r>
          <w:fldChar w:fldCharType="begin"/>
        </w:r>
        <w:r>
          <w:instrText xml:space="preserve"> PAGE   \* MERGEFORMAT </w:instrText>
        </w:r>
        <w:r>
          <w:fldChar w:fldCharType="separate"/>
        </w:r>
        <w:r w:rsidR="00350DCE">
          <w:rPr>
            <w:noProof/>
          </w:rPr>
          <w:t>5</w:t>
        </w:r>
        <w:r>
          <w:rPr>
            <w:noProof/>
          </w:rPr>
          <w:fldChar w:fldCharType="end"/>
        </w:r>
      </w:p>
    </w:sdtContent>
  </w:sdt>
  <w:p w14:paraId="679795B8" w14:textId="701E2E19" w:rsidR="00C9571F" w:rsidRDefault="00C9571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25FDC" w14:textId="77777777" w:rsidR="0034781E" w:rsidRDefault="0034781E" w:rsidP="002C4298">
      <w:pPr>
        <w:spacing w:after="0"/>
      </w:pPr>
      <w:r>
        <w:separator/>
      </w:r>
    </w:p>
  </w:footnote>
  <w:footnote w:type="continuationSeparator" w:id="0">
    <w:p w14:paraId="0230D0D8" w14:textId="77777777" w:rsidR="0034781E" w:rsidRDefault="0034781E" w:rsidP="002C4298">
      <w:pPr>
        <w:spacing w:after="0"/>
      </w:pPr>
      <w:r>
        <w:continuationSeparator/>
      </w:r>
    </w:p>
  </w:footnote>
  <w:footnote w:id="1">
    <w:p w14:paraId="0BE76DAC" w14:textId="77777777" w:rsidR="005D37FE" w:rsidRDefault="005D37FE" w:rsidP="005D37FE">
      <w:pPr>
        <w:pStyle w:val="FootnoteText"/>
      </w:pPr>
      <w:r>
        <w:rPr>
          <w:rStyle w:val="FootnoteReference"/>
        </w:rPr>
        <w:footnoteRef/>
      </w:r>
      <w:r>
        <w:t xml:space="preserve"> </w:t>
      </w:r>
      <w:r>
        <w:rPr>
          <w:i/>
          <w:iCs/>
        </w:rPr>
        <w:t>Guidance on the Development of Modeled Emission Rates for Precursors (MERPs) as a Tier 1 Demonstration Tool for Ozone and PM2.5 under the PSD Permitting Program</w:t>
      </w:r>
      <w:r>
        <w:t xml:space="preserve"> (December 2,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2D05"/>
    <w:multiLevelType w:val="multilevel"/>
    <w:tmpl w:val="B5B2F7F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2D3CE0"/>
    <w:multiLevelType w:val="hybridMultilevel"/>
    <w:tmpl w:val="45645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A00E3E"/>
    <w:multiLevelType w:val="multilevel"/>
    <w:tmpl w:val="1840901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016241"/>
    <w:multiLevelType w:val="hybridMultilevel"/>
    <w:tmpl w:val="53741222"/>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A7557"/>
    <w:multiLevelType w:val="multilevel"/>
    <w:tmpl w:val="3A2AA50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26435B"/>
    <w:multiLevelType w:val="hybridMultilevel"/>
    <w:tmpl w:val="200A7986"/>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007F6"/>
    <w:multiLevelType w:val="hybridMultilevel"/>
    <w:tmpl w:val="1EF4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055E26"/>
    <w:multiLevelType w:val="multilevel"/>
    <w:tmpl w:val="B5B2F7F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3A7BA7"/>
    <w:multiLevelType w:val="multilevel"/>
    <w:tmpl w:val="EEEA4DC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76513A0"/>
    <w:multiLevelType w:val="hybridMultilevel"/>
    <w:tmpl w:val="2B9C51DE"/>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A4063"/>
    <w:multiLevelType w:val="multilevel"/>
    <w:tmpl w:val="B5B2F7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254067"/>
    <w:multiLevelType w:val="multilevel"/>
    <w:tmpl w:val="DFAECE7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FC1555F"/>
    <w:multiLevelType w:val="hybridMultilevel"/>
    <w:tmpl w:val="8594E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0"/>
  </w:num>
  <w:num w:numId="5">
    <w:abstractNumId w:val="7"/>
  </w:num>
  <w:num w:numId="6">
    <w:abstractNumId w:val="11"/>
  </w:num>
  <w:num w:numId="7">
    <w:abstractNumId w:val="1"/>
  </w:num>
  <w:num w:numId="8">
    <w:abstractNumId w:val="6"/>
  </w:num>
  <w:num w:numId="9">
    <w:abstractNumId w:val="4"/>
  </w:num>
  <w:num w:numId="10">
    <w:abstractNumId w:val="12"/>
  </w:num>
  <w:num w:numId="11">
    <w:abstractNumId w:val="8"/>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D2"/>
    <w:rsid w:val="000021B2"/>
    <w:rsid w:val="00006499"/>
    <w:rsid w:val="00016928"/>
    <w:rsid w:val="0002175F"/>
    <w:rsid w:val="00027147"/>
    <w:rsid w:val="00033996"/>
    <w:rsid w:val="00037484"/>
    <w:rsid w:val="00050591"/>
    <w:rsid w:val="00054D95"/>
    <w:rsid w:val="000700E1"/>
    <w:rsid w:val="00070E62"/>
    <w:rsid w:val="00074A8C"/>
    <w:rsid w:val="00075724"/>
    <w:rsid w:val="00086C1E"/>
    <w:rsid w:val="0008751A"/>
    <w:rsid w:val="000B6695"/>
    <w:rsid w:val="000B7281"/>
    <w:rsid w:val="000C33C0"/>
    <w:rsid w:val="000D220B"/>
    <w:rsid w:val="000D7E05"/>
    <w:rsid w:val="000E0CD7"/>
    <w:rsid w:val="000F17C8"/>
    <w:rsid w:val="00103A34"/>
    <w:rsid w:val="001056C1"/>
    <w:rsid w:val="00105BC4"/>
    <w:rsid w:val="001068C6"/>
    <w:rsid w:val="00107BD3"/>
    <w:rsid w:val="00110F15"/>
    <w:rsid w:val="00120A21"/>
    <w:rsid w:val="00124267"/>
    <w:rsid w:val="0012550A"/>
    <w:rsid w:val="00132E38"/>
    <w:rsid w:val="00133078"/>
    <w:rsid w:val="00140FE3"/>
    <w:rsid w:val="00150F93"/>
    <w:rsid w:val="001516D2"/>
    <w:rsid w:val="001633EA"/>
    <w:rsid w:val="001702E6"/>
    <w:rsid w:val="001733EF"/>
    <w:rsid w:val="00173802"/>
    <w:rsid w:val="00174D38"/>
    <w:rsid w:val="001A7E3E"/>
    <w:rsid w:val="001B03F5"/>
    <w:rsid w:val="001B6EC1"/>
    <w:rsid w:val="001C0984"/>
    <w:rsid w:val="001C5E52"/>
    <w:rsid w:val="001F062F"/>
    <w:rsid w:val="002010C0"/>
    <w:rsid w:val="002045B5"/>
    <w:rsid w:val="00213A14"/>
    <w:rsid w:val="00220042"/>
    <w:rsid w:val="0022064E"/>
    <w:rsid w:val="00226814"/>
    <w:rsid w:val="00227BF7"/>
    <w:rsid w:val="002343FF"/>
    <w:rsid w:val="002376DD"/>
    <w:rsid w:val="00241208"/>
    <w:rsid w:val="00247C47"/>
    <w:rsid w:val="00255C3C"/>
    <w:rsid w:val="0026713D"/>
    <w:rsid w:val="00270DCE"/>
    <w:rsid w:val="00273204"/>
    <w:rsid w:val="002803F0"/>
    <w:rsid w:val="00285FDF"/>
    <w:rsid w:val="002913EE"/>
    <w:rsid w:val="00292A52"/>
    <w:rsid w:val="002C4298"/>
    <w:rsid w:val="002D2096"/>
    <w:rsid w:val="002F3885"/>
    <w:rsid w:val="002F630A"/>
    <w:rsid w:val="00310C8E"/>
    <w:rsid w:val="003202A1"/>
    <w:rsid w:val="003355C4"/>
    <w:rsid w:val="00343D2E"/>
    <w:rsid w:val="0034781E"/>
    <w:rsid w:val="00350DCE"/>
    <w:rsid w:val="00351D4B"/>
    <w:rsid w:val="00352B26"/>
    <w:rsid w:val="00356C7F"/>
    <w:rsid w:val="003617D2"/>
    <w:rsid w:val="00362F88"/>
    <w:rsid w:val="00372CF7"/>
    <w:rsid w:val="00375B12"/>
    <w:rsid w:val="0038284D"/>
    <w:rsid w:val="00383339"/>
    <w:rsid w:val="00397F58"/>
    <w:rsid w:val="003A4484"/>
    <w:rsid w:val="003B75CC"/>
    <w:rsid w:val="003C282F"/>
    <w:rsid w:val="003C56F1"/>
    <w:rsid w:val="003C5DCC"/>
    <w:rsid w:val="003F10C9"/>
    <w:rsid w:val="003F5EDC"/>
    <w:rsid w:val="00404492"/>
    <w:rsid w:val="00404DF1"/>
    <w:rsid w:val="00420703"/>
    <w:rsid w:val="00424E53"/>
    <w:rsid w:val="00426320"/>
    <w:rsid w:val="00426825"/>
    <w:rsid w:val="00440CAC"/>
    <w:rsid w:val="00445146"/>
    <w:rsid w:val="0045524F"/>
    <w:rsid w:val="00461AB4"/>
    <w:rsid w:val="00461C7A"/>
    <w:rsid w:val="004658F2"/>
    <w:rsid w:val="004669A3"/>
    <w:rsid w:val="00470CE2"/>
    <w:rsid w:val="00474417"/>
    <w:rsid w:val="00482B0D"/>
    <w:rsid w:val="004935BC"/>
    <w:rsid w:val="0049505E"/>
    <w:rsid w:val="004A2BA5"/>
    <w:rsid w:val="004D184E"/>
    <w:rsid w:val="004D1B79"/>
    <w:rsid w:val="004D60D6"/>
    <w:rsid w:val="004D615B"/>
    <w:rsid w:val="004E4742"/>
    <w:rsid w:val="004F2185"/>
    <w:rsid w:val="004F244B"/>
    <w:rsid w:val="0050544B"/>
    <w:rsid w:val="00516695"/>
    <w:rsid w:val="00517517"/>
    <w:rsid w:val="00520857"/>
    <w:rsid w:val="0052117A"/>
    <w:rsid w:val="00542AC8"/>
    <w:rsid w:val="00550E89"/>
    <w:rsid w:val="005527B4"/>
    <w:rsid w:val="00560A2E"/>
    <w:rsid w:val="00561E8B"/>
    <w:rsid w:val="005642DE"/>
    <w:rsid w:val="005708C0"/>
    <w:rsid w:val="0057530E"/>
    <w:rsid w:val="00596928"/>
    <w:rsid w:val="005A386D"/>
    <w:rsid w:val="005B4F14"/>
    <w:rsid w:val="005C0A0A"/>
    <w:rsid w:val="005D37FE"/>
    <w:rsid w:val="005E6212"/>
    <w:rsid w:val="005E7813"/>
    <w:rsid w:val="005F0C71"/>
    <w:rsid w:val="005F21FE"/>
    <w:rsid w:val="00612E86"/>
    <w:rsid w:val="00620138"/>
    <w:rsid w:val="00626EA9"/>
    <w:rsid w:val="0062791D"/>
    <w:rsid w:val="006378B4"/>
    <w:rsid w:val="00650190"/>
    <w:rsid w:val="00653A38"/>
    <w:rsid w:val="0066168F"/>
    <w:rsid w:val="00663007"/>
    <w:rsid w:val="00663899"/>
    <w:rsid w:val="00665119"/>
    <w:rsid w:val="00665CFB"/>
    <w:rsid w:val="0067506D"/>
    <w:rsid w:val="00677542"/>
    <w:rsid w:val="00681780"/>
    <w:rsid w:val="0068304C"/>
    <w:rsid w:val="006912AE"/>
    <w:rsid w:val="00692D51"/>
    <w:rsid w:val="00694E40"/>
    <w:rsid w:val="00695768"/>
    <w:rsid w:val="006A02B7"/>
    <w:rsid w:val="006B0702"/>
    <w:rsid w:val="006B0D45"/>
    <w:rsid w:val="006B4433"/>
    <w:rsid w:val="006D5740"/>
    <w:rsid w:val="006D6C3E"/>
    <w:rsid w:val="006D7825"/>
    <w:rsid w:val="006E7D7E"/>
    <w:rsid w:val="006F322B"/>
    <w:rsid w:val="006F5922"/>
    <w:rsid w:val="00725512"/>
    <w:rsid w:val="007474E4"/>
    <w:rsid w:val="007547A9"/>
    <w:rsid w:val="00756308"/>
    <w:rsid w:val="0076599C"/>
    <w:rsid w:val="00765DB6"/>
    <w:rsid w:val="0077707E"/>
    <w:rsid w:val="0078268D"/>
    <w:rsid w:val="00787FEE"/>
    <w:rsid w:val="007A7120"/>
    <w:rsid w:val="007B0B33"/>
    <w:rsid w:val="007C6184"/>
    <w:rsid w:val="007E2750"/>
    <w:rsid w:val="007E52A4"/>
    <w:rsid w:val="007F143A"/>
    <w:rsid w:val="007F16FA"/>
    <w:rsid w:val="00807325"/>
    <w:rsid w:val="00810E34"/>
    <w:rsid w:val="0081237F"/>
    <w:rsid w:val="00814875"/>
    <w:rsid w:val="00814DB2"/>
    <w:rsid w:val="008227AC"/>
    <w:rsid w:val="00851204"/>
    <w:rsid w:val="00861BB1"/>
    <w:rsid w:val="00871849"/>
    <w:rsid w:val="00871F95"/>
    <w:rsid w:val="0088212D"/>
    <w:rsid w:val="00883B72"/>
    <w:rsid w:val="00887E5E"/>
    <w:rsid w:val="008905E8"/>
    <w:rsid w:val="008928AB"/>
    <w:rsid w:val="00893D02"/>
    <w:rsid w:val="0089487E"/>
    <w:rsid w:val="008A08C6"/>
    <w:rsid w:val="008B024C"/>
    <w:rsid w:val="008B6545"/>
    <w:rsid w:val="008D0BCF"/>
    <w:rsid w:val="008E1935"/>
    <w:rsid w:val="008E62FE"/>
    <w:rsid w:val="008F1709"/>
    <w:rsid w:val="00901B8E"/>
    <w:rsid w:val="00902575"/>
    <w:rsid w:val="00902A43"/>
    <w:rsid w:val="0090500F"/>
    <w:rsid w:val="009110B1"/>
    <w:rsid w:val="0091691F"/>
    <w:rsid w:val="009212FC"/>
    <w:rsid w:val="00922439"/>
    <w:rsid w:val="009233F5"/>
    <w:rsid w:val="009331A1"/>
    <w:rsid w:val="00941290"/>
    <w:rsid w:val="00941B8A"/>
    <w:rsid w:val="009435B5"/>
    <w:rsid w:val="0094531C"/>
    <w:rsid w:val="00947084"/>
    <w:rsid w:val="00947E1D"/>
    <w:rsid w:val="00947F60"/>
    <w:rsid w:val="00952B9D"/>
    <w:rsid w:val="009549DC"/>
    <w:rsid w:val="00957B34"/>
    <w:rsid w:val="00960F9C"/>
    <w:rsid w:val="00965324"/>
    <w:rsid w:val="00982DA9"/>
    <w:rsid w:val="00996991"/>
    <w:rsid w:val="009A1EA4"/>
    <w:rsid w:val="009A2202"/>
    <w:rsid w:val="009B4E30"/>
    <w:rsid w:val="009B57B2"/>
    <w:rsid w:val="009C0DB8"/>
    <w:rsid w:val="009C1C21"/>
    <w:rsid w:val="009F015C"/>
    <w:rsid w:val="00A0434A"/>
    <w:rsid w:val="00A138C3"/>
    <w:rsid w:val="00A17B8E"/>
    <w:rsid w:val="00A237B3"/>
    <w:rsid w:val="00A314D7"/>
    <w:rsid w:val="00A32F0D"/>
    <w:rsid w:val="00A5193F"/>
    <w:rsid w:val="00A52F2D"/>
    <w:rsid w:val="00A64DE8"/>
    <w:rsid w:val="00A727FB"/>
    <w:rsid w:val="00A760CD"/>
    <w:rsid w:val="00A81867"/>
    <w:rsid w:val="00A911F4"/>
    <w:rsid w:val="00A95DF2"/>
    <w:rsid w:val="00A97D3E"/>
    <w:rsid w:val="00AA0980"/>
    <w:rsid w:val="00AB798E"/>
    <w:rsid w:val="00AC58A4"/>
    <w:rsid w:val="00AD34DF"/>
    <w:rsid w:val="00AE0BC5"/>
    <w:rsid w:val="00AE0D6D"/>
    <w:rsid w:val="00AE4458"/>
    <w:rsid w:val="00AF3E57"/>
    <w:rsid w:val="00AF4C19"/>
    <w:rsid w:val="00B01F3E"/>
    <w:rsid w:val="00B10FAD"/>
    <w:rsid w:val="00B2600A"/>
    <w:rsid w:val="00B27280"/>
    <w:rsid w:val="00B31993"/>
    <w:rsid w:val="00B32ADD"/>
    <w:rsid w:val="00B34735"/>
    <w:rsid w:val="00B3576D"/>
    <w:rsid w:val="00B43E6D"/>
    <w:rsid w:val="00B4627E"/>
    <w:rsid w:val="00B53596"/>
    <w:rsid w:val="00B540EB"/>
    <w:rsid w:val="00B55FB0"/>
    <w:rsid w:val="00B60BE4"/>
    <w:rsid w:val="00B639E8"/>
    <w:rsid w:val="00B67548"/>
    <w:rsid w:val="00B72CBF"/>
    <w:rsid w:val="00B75066"/>
    <w:rsid w:val="00B7628D"/>
    <w:rsid w:val="00B81C80"/>
    <w:rsid w:val="00B904D0"/>
    <w:rsid w:val="00B967A6"/>
    <w:rsid w:val="00BD307F"/>
    <w:rsid w:val="00BD6C8C"/>
    <w:rsid w:val="00BE1917"/>
    <w:rsid w:val="00C039C5"/>
    <w:rsid w:val="00C10BC9"/>
    <w:rsid w:val="00C1221A"/>
    <w:rsid w:val="00C319B1"/>
    <w:rsid w:val="00C319D2"/>
    <w:rsid w:val="00C4210E"/>
    <w:rsid w:val="00C4353F"/>
    <w:rsid w:val="00C63605"/>
    <w:rsid w:val="00C63D22"/>
    <w:rsid w:val="00C8340F"/>
    <w:rsid w:val="00C83A33"/>
    <w:rsid w:val="00C87367"/>
    <w:rsid w:val="00C873B7"/>
    <w:rsid w:val="00C94737"/>
    <w:rsid w:val="00C9571F"/>
    <w:rsid w:val="00C96AA3"/>
    <w:rsid w:val="00CB77E6"/>
    <w:rsid w:val="00CC4623"/>
    <w:rsid w:val="00CD3667"/>
    <w:rsid w:val="00CE5AE7"/>
    <w:rsid w:val="00CF264B"/>
    <w:rsid w:val="00CF3B65"/>
    <w:rsid w:val="00CF68C2"/>
    <w:rsid w:val="00D06EDA"/>
    <w:rsid w:val="00D13710"/>
    <w:rsid w:val="00D205D0"/>
    <w:rsid w:val="00D213F6"/>
    <w:rsid w:val="00D2602E"/>
    <w:rsid w:val="00D3177F"/>
    <w:rsid w:val="00D54A0E"/>
    <w:rsid w:val="00D70678"/>
    <w:rsid w:val="00D734AC"/>
    <w:rsid w:val="00D7366A"/>
    <w:rsid w:val="00D74C47"/>
    <w:rsid w:val="00D75E46"/>
    <w:rsid w:val="00D80548"/>
    <w:rsid w:val="00D83726"/>
    <w:rsid w:val="00D90C22"/>
    <w:rsid w:val="00D92EA0"/>
    <w:rsid w:val="00DA394C"/>
    <w:rsid w:val="00DA4F0C"/>
    <w:rsid w:val="00DA6D48"/>
    <w:rsid w:val="00DA7935"/>
    <w:rsid w:val="00DB40A0"/>
    <w:rsid w:val="00DB41B3"/>
    <w:rsid w:val="00DB7DE8"/>
    <w:rsid w:val="00DC4BAF"/>
    <w:rsid w:val="00DD30D4"/>
    <w:rsid w:val="00E020C9"/>
    <w:rsid w:val="00E052D1"/>
    <w:rsid w:val="00E12A2F"/>
    <w:rsid w:val="00E142BE"/>
    <w:rsid w:val="00E20EC5"/>
    <w:rsid w:val="00E2215F"/>
    <w:rsid w:val="00E274B5"/>
    <w:rsid w:val="00E333B5"/>
    <w:rsid w:val="00E513DD"/>
    <w:rsid w:val="00E62125"/>
    <w:rsid w:val="00E73D77"/>
    <w:rsid w:val="00EA5E1B"/>
    <w:rsid w:val="00EB1498"/>
    <w:rsid w:val="00EC2337"/>
    <w:rsid w:val="00EC3D0C"/>
    <w:rsid w:val="00EC40E1"/>
    <w:rsid w:val="00ED33AA"/>
    <w:rsid w:val="00ED34D8"/>
    <w:rsid w:val="00ED7D19"/>
    <w:rsid w:val="00EF3EA1"/>
    <w:rsid w:val="00EF609C"/>
    <w:rsid w:val="00EF704E"/>
    <w:rsid w:val="00F06780"/>
    <w:rsid w:val="00F15F81"/>
    <w:rsid w:val="00F26FE3"/>
    <w:rsid w:val="00F34EE1"/>
    <w:rsid w:val="00F40026"/>
    <w:rsid w:val="00F435E4"/>
    <w:rsid w:val="00F43B5C"/>
    <w:rsid w:val="00F45FC6"/>
    <w:rsid w:val="00F51CC7"/>
    <w:rsid w:val="00F5684C"/>
    <w:rsid w:val="00F6038E"/>
    <w:rsid w:val="00F9167E"/>
    <w:rsid w:val="00F94354"/>
    <w:rsid w:val="00FA397D"/>
    <w:rsid w:val="00FB2314"/>
    <w:rsid w:val="00FB6C7D"/>
    <w:rsid w:val="00FC509F"/>
    <w:rsid w:val="00FE0EA2"/>
    <w:rsid w:val="00FE161D"/>
    <w:rsid w:val="00FE2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3A64BB"/>
  <w15:docId w15:val="{BE64F4E2-36EE-4A1B-B04D-0686FEAC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E52"/>
    <w:pPr>
      <w:spacing w:after="24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97D3E"/>
    <w:pPr>
      <w:keepNext/>
      <w:keepLines/>
      <w:numPr>
        <w:numId w:val="1"/>
      </w:numPr>
      <w:spacing w:before="240" w:after="0"/>
      <w:outlineLvl w:val="0"/>
    </w:pPr>
    <w:rPr>
      <w:rFonts w:eastAsiaTheme="majorEastAsia"/>
      <w:b/>
      <w:sz w:val="32"/>
      <w:szCs w:val="32"/>
    </w:rPr>
  </w:style>
  <w:style w:type="paragraph" w:styleId="Heading2">
    <w:name w:val="heading 2"/>
    <w:basedOn w:val="Normal"/>
    <w:next w:val="Normal"/>
    <w:link w:val="Heading2Char"/>
    <w:uiPriority w:val="9"/>
    <w:unhideWhenUsed/>
    <w:qFormat/>
    <w:rsid w:val="00EB1498"/>
    <w:pPr>
      <w:keepNext/>
      <w:keepLines/>
      <w:numPr>
        <w:ilvl w:val="1"/>
        <w:numId w:val="1"/>
      </w:numPr>
      <w:spacing w:before="40" w:after="0"/>
      <w:ind w:left="720"/>
      <w:outlineLvl w:val="1"/>
    </w:pPr>
    <w:rPr>
      <w:rFonts w:eastAsiaTheme="majorEastAsia"/>
      <w:b/>
      <w:i/>
      <w:sz w:val="26"/>
      <w:szCs w:val="26"/>
    </w:rPr>
  </w:style>
  <w:style w:type="paragraph" w:styleId="Heading3">
    <w:name w:val="heading 3"/>
    <w:basedOn w:val="Normal"/>
    <w:next w:val="Normal"/>
    <w:link w:val="Heading3Char"/>
    <w:uiPriority w:val="9"/>
    <w:unhideWhenUsed/>
    <w:qFormat/>
    <w:rsid w:val="00EF704E"/>
    <w:pPr>
      <w:keepNext/>
      <w:keepLines/>
      <w:spacing w:after="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2C4298"/>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2C4298"/>
    <w:rPr>
      <w:rFonts w:ascii="Times New Roman" w:eastAsia="Times New Roman" w:hAnsi="Times New Roman" w:cs="Times New Roman"/>
      <w:b/>
      <w:sz w:val="32"/>
      <w:szCs w:val="20"/>
    </w:rPr>
  </w:style>
  <w:style w:type="paragraph" w:styleId="Header">
    <w:name w:val="header"/>
    <w:basedOn w:val="Normal"/>
    <w:link w:val="HeaderChar"/>
    <w:uiPriority w:val="99"/>
    <w:unhideWhenUsed/>
    <w:rsid w:val="002C4298"/>
    <w:pPr>
      <w:tabs>
        <w:tab w:val="center" w:pos="4680"/>
        <w:tab w:val="right" w:pos="9360"/>
      </w:tabs>
      <w:spacing w:after="0"/>
    </w:pPr>
  </w:style>
  <w:style w:type="character" w:customStyle="1" w:styleId="HeaderChar">
    <w:name w:val="Header Char"/>
    <w:basedOn w:val="DefaultParagraphFont"/>
    <w:link w:val="Header"/>
    <w:uiPriority w:val="99"/>
    <w:rsid w:val="002C429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C4298"/>
    <w:pPr>
      <w:tabs>
        <w:tab w:val="center" w:pos="4680"/>
        <w:tab w:val="right" w:pos="9360"/>
      </w:tabs>
      <w:spacing w:after="0"/>
    </w:pPr>
  </w:style>
  <w:style w:type="character" w:customStyle="1" w:styleId="FooterChar">
    <w:name w:val="Footer Char"/>
    <w:basedOn w:val="DefaultParagraphFont"/>
    <w:link w:val="Footer"/>
    <w:uiPriority w:val="99"/>
    <w:rsid w:val="002C4298"/>
    <w:rPr>
      <w:rFonts w:ascii="Times New Roman" w:eastAsia="Times New Roman" w:hAnsi="Times New Roman" w:cs="Times New Roman"/>
      <w:sz w:val="24"/>
      <w:szCs w:val="20"/>
    </w:rPr>
  </w:style>
  <w:style w:type="paragraph" w:styleId="TOC1">
    <w:name w:val="toc 1"/>
    <w:basedOn w:val="Normal"/>
    <w:next w:val="Normal"/>
    <w:autoRedefine/>
    <w:uiPriority w:val="39"/>
    <w:rsid w:val="002C4298"/>
    <w:pPr>
      <w:spacing w:before="120" w:after="120"/>
    </w:pPr>
    <w:rPr>
      <w:rFonts w:asciiTheme="minorHAnsi" w:hAnsiTheme="minorHAnsi"/>
      <w:b/>
      <w:bCs/>
      <w:caps/>
      <w:sz w:val="20"/>
    </w:rPr>
  </w:style>
  <w:style w:type="character" w:styleId="Hyperlink">
    <w:name w:val="Hyperlink"/>
    <w:uiPriority w:val="99"/>
    <w:rsid w:val="002C4298"/>
    <w:rPr>
      <w:color w:val="0000FF"/>
      <w:u w:val="single"/>
    </w:rPr>
  </w:style>
  <w:style w:type="paragraph" w:styleId="TOC2">
    <w:name w:val="toc 2"/>
    <w:basedOn w:val="List2"/>
    <w:next w:val="Normal"/>
    <w:autoRedefine/>
    <w:uiPriority w:val="39"/>
    <w:rsid w:val="002C4298"/>
    <w:pPr>
      <w:spacing w:after="0"/>
      <w:ind w:left="240" w:firstLine="0"/>
      <w:contextualSpacing w:val="0"/>
    </w:pPr>
    <w:rPr>
      <w:rFonts w:asciiTheme="minorHAnsi" w:hAnsiTheme="minorHAnsi"/>
      <w:smallCaps/>
      <w:sz w:val="20"/>
    </w:rPr>
  </w:style>
  <w:style w:type="paragraph" w:styleId="TOC3">
    <w:name w:val="toc 3"/>
    <w:basedOn w:val="Normal"/>
    <w:next w:val="Normal"/>
    <w:autoRedefine/>
    <w:uiPriority w:val="39"/>
    <w:rsid w:val="002C4298"/>
    <w:pPr>
      <w:spacing w:after="0"/>
      <w:ind w:left="480"/>
    </w:pPr>
    <w:rPr>
      <w:rFonts w:asciiTheme="minorHAnsi" w:hAnsiTheme="minorHAnsi"/>
      <w:i/>
      <w:iCs/>
      <w:sz w:val="20"/>
    </w:rPr>
  </w:style>
  <w:style w:type="paragraph" w:styleId="List2">
    <w:name w:val="List 2"/>
    <w:basedOn w:val="Normal"/>
    <w:uiPriority w:val="99"/>
    <w:semiHidden/>
    <w:unhideWhenUsed/>
    <w:rsid w:val="002C4298"/>
    <w:pPr>
      <w:ind w:left="720" w:hanging="360"/>
      <w:contextualSpacing/>
    </w:pPr>
  </w:style>
  <w:style w:type="character" w:customStyle="1" w:styleId="Heading1Char">
    <w:name w:val="Heading 1 Char"/>
    <w:basedOn w:val="DefaultParagraphFont"/>
    <w:link w:val="Heading1"/>
    <w:uiPriority w:val="9"/>
    <w:rsid w:val="00A97D3E"/>
    <w:rPr>
      <w:rFonts w:ascii="Times New Roman" w:eastAsiaTheme="majorEastAsia" w:hAnsi="Times New Roman" w:cs="Times New Roman"/>
      <w:b/>
      <w:sz w:val="32"/>
      <w:szCs w:val="32"/>
    </w:rPr>
  </w:style>
  <w:style w:type="paragraph" w:styleId="TOCHeading">
    <w:name w:val="TOC Heading"/>
    <w:basedOn w:val="Heading1"/>
    <w:next w:val="Normal"/>
    <w:uiPriority w:val="39"/>
    <w:unhideWhenUsed/>
    <w:qFormat/>
    <w:rsid w:val="002C4298"/>
    <w:pPr>
      <w:outlineLvl w:val="9"/>
    </w:pPr>
  </w:style>
  <w:style w:type="paragraph" w:customStyle="1" w:styleId="Style4">
    <w:name w:val="Style4"/>
    <w:basedOn w:val="TOCHeading"/>
    <w:link w:val="Style4Char"/>
    <w:rsid w:val="002C4298"/>
    <w:pPr>
      <w:spacing w:line="259" w:lineRule="auto"/>
      <w:jc w:val="center"/>
    </w:pPr>
    <w:rPr>
      <w:b w:val="0"/>
      <w:color w:val="000000" w:themeColor="text1"/>
    </w:rPr>
  </w:style>
  <w:style w:type="character" w:customStyle="1" w:styleId="Style4Char">
    <w:name w:val="Style4 Char"/>
    <w:basedOn w:val="DefaultParagraphFont"/>
    <w:link w:val="Style4"/>
    <w:rsid w:val="002C4298"/>
    <w:rPr>
      <w:rFonts w:ascii="Times New Roman" w:eastAsiaTheme="majorEastAsia" w:hAnsi="Times New Roman" w:cstheme="majorBidi"/>
      <w:b/>
      <w:color w:val="000000" w:themeColor="text1"/>
      <w:sz w:val="32"/>
      <w:szCs w:val="32"/>
    </w:rPr>
  </w:style>
  <w:style w:type="paragraph" w:customStyle="1" w:styleId="CenteredTitle">
    <w:name w:val="Centered Title"/>
    <w:basedOn w:val="Normal"/>
    <w:link w:val="CenteredTitleChar"/>
    <w:rsid w:val="002C4298"/>
    <w:pPr>
      <w:tabs>
        <w:tab w:val="left" w:pos="7920"/>
      </w:tabs>
      <w:spacing w:after="0" w:line="276" w:lineRule="auto"/>
      <w:jc w:val="center"/>
    </w:pPr>
    <w:rPr>
      <w:b/>
      <w:sz w:val="32"/>
      <w:szCs w:val="32"/>
    </w:rPr>
  </w:style>
  <w:style w:type="character" w:customStyle="1" w:styleId="CenteredTitleChar">
    <w:name w:val="Centered Title Char"/>
    <w:basedOn w:val="DefaultParagraphFont"/>
    <w:link w:val="CenteredTitle"/>
    <w:rsid w:val="002C4298"/>
    <w:rPr>
      <w:rFonts w:ascii="Times New Roman" w:eastAsia="Times New Roman" w:hAnsi="Times New Roman" w:cs="Times New Roman"/>
      <w:b/>
      <w:sz w:val="32"/>
      <w:szCs w:val="32"/>
    </w:rPr>
  </w:style>
  <w:style w:type="paragraph" w:styleId="TOC4">
    <w:name w:val="toc 4"/>
    <w:basedOn w:val="Normal"/>
    <w:next w:val="Normal"/>
    <w:autoRedefine/>
    <w:uiPriority w:val="39"/>
    <w:unhideWhenUsed/>
    <w:rsid w:val="00A97D3E"/>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A97D3E"/>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A97D3E"/>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A97D3E"/>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A97D3E"/>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A97D3E"/>
    <w:pPr>
      <w:spacing w:after="0"/>
      <w:ind w:left="1920"/>
    </w:pPr>
    <w:rPr>
      <w:rFonts w:asciiTheme="minorHAnsi" w:hAnsiTheme="minorHAnsi"/>
      <w:sz w:val="18"/>
      <w:szCs w:val="18"/>
    </w:rPr>
  </w:style>
  <w:style w:type="character" w:customStyle="1" w:styleId="Heading2Char">
    <w:name w:val="Heading 2 Char"/>
    <w:basedOn w:val="DefaultParagraphFont"/>
    <w:link w:val="Heading2"/>
    <w:uiPriority w:val="9"/>
    <w:rsid w:val="00EB1498"/>
    <w:rPr>
      <w:rFonts w:ascii="Times New Roman" w:eastAsiaTheme="majorEastAsia" w:hAnsi="Times New Roman" w:cs="Times New Roman"/>
      <w:b/>
      <w:i/>
      <w:sz w:val="26"/>
      <w:szCs w:val="26"/>
    </w:rPr>
  </w:style>
  <w:style w:type="paragraph" w:styleId="BalloonText">
    <w:name w:val="Balloon Text"/>
    <w:basedOn w:val="Normal"/>
    <w:link w:val="BalloonTextChar"/>
    <w:uiPriority w:val="99"/>
    <w:semiHidden/>
    <w:unhideWhenUsed/>
    <w:rsid w:val="008123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37F"/>
    <w:rPr>
      <w:rFonts w:ascii="Tahoma" w:eastAsia="Times New Roman" w:hAnsi="Tahoma" w:cs="Tahoma"/>
      <w:sz w:val="16"/>
      <w:szCs w:val="16"/>
    </w:rPr>
  </w:style>
  <w:style w:type="paragraph" w:styleId="FootnoteText">
    <w:name w:val="footnote text"/>
    <w:basedOn w:val="Normal"/>
    <w:link w:val="FootnoteTextChar"/>
    <w:uiPriority w:val="99"/>
    <w:unhideWhenUsed/>
    <w:rsid w:val="000D220B"/>
    <w:pPr>
      <w:widowControl w:val="0"/>
      <w:autoSpaceDE w:val="0"/>
      <w:autoSpaceDN w:val="0"/>
      <w:spacing w:after="0"/>
    </w:pPr>
    <w:rPr>
      <w:sz w:val="20"/>
    </w:rPr>
  </w:style>
  <w:style w:type="character" w:customStyle="1" w:styleId="FootnoteTextChar">
    <w:name w:val="Footnote Text Char"/>
    <w:basedOn w:val="DefaultParagraphFont"/>
    <w:link w:val="FootnoteText"/>
    <w:uiPriority w:val="99"/>
    <w:rsid w:val="000D220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D220B"/>
    <w:rPr>
      <w:vertAlign w:val="superscript"/>
    </w:rPr>
  </w:style>
  <w:style w:type="paragraph" w:styleId="ListParagraph">
    <w:name w:val="List Paragraph"/>
    <w:basedOn w:val="Normal"/>
    <w:uiPriority w:val="34"/>
    <w:qFormat/>
    <w:rsid w:val="008D0BCF"/>
    <w:pPr>
      <w:ind w:left="720"/>
      <w:contextualSpacing/>
    </w:pPr>
  </w:style>
  <w:style w:type="character" w:customStyle="1" w:styleId="Heading3Char">
    <w:name w:val="Heading 3 Char"/>
    <w:basedOn w:val="DefaultParagraphFont"/>
    <w:link w:val="Heading3"/>
    <w:uiPriority w:val="9"/>
    <w:rsid w:val="00EF704E"/>
    <w:rPr>
      <w:rFonts w:ascii="Times New Roman" w:eastAsiaTheme="majorEastAsia" w:hAnsi="Times New Roman" w:cs="Times New Roman"/>
      <w:b/>
      <w:bCs/>
      <w:sz w:val="24"/>
      <w:szCs w:val="20"/>
    </w:rPr>
  </w:style>
  <w:style w:type="character" w:styleId="CommentReference">
    <w:name w:val="annotation reference"/>
    <w:basedOn w:val="DefaultParagraphFont"/>
    <w:uiPriority w:val="99"/>
    <w:semiHidden/>
    <w:unhideWhenUsed/>
    <w:rsid w:val="00ED33AA"/>
    <w:rPr>
      <w:sz w:val="16"/>
      <w:szCs w:val="16"/>
    </w:rPr>
  </w:style>
  <w:style w:type="paragraph" w:styleId="CommentText">
    <w:name w:val="annotation text"/>
    <w:basedOn w:val="Normal"/>
    <w:link w:val="CommentTextChar"/>
    <w:uiPriority w:val="99"/>
    <w:semiHidden/>
    <w:unhideWhenUsed/>
    <w:rsid w:val="00ED33AA"/>
    <w:rPr>
      <w:sz w:val="20"/>
    </w:rPr>
  </w:style>
  <w:style w:type="character" w:customStyle="1" w:styleId="CommentTextChar">
    <w:name w:val="Comment Text Char"/>
    <w:basedOn w:val="DefaultParagraphFont"/>
    <w:link w:val="CommentText"/>
    <w:uiPriority w:val="99"/>
    <w:semiHidden/>
    <w:rsid w:val="00ED33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33AA"/>
    <w:rPr>
      <w:b/>
      <w:bCs/>
    </w:rPr>
  </w:style>
  <w:style w:type="character" w:customStyle="1" w:styleId="CommentSubjectChar">
    <w:name w:val="Comment Subject Char"/>
    <w:basedOn w:val="CommentTextChar"/>
    <w:link w:val="CommentSubject"/>
    <w:uiPriority w:val="99"/>
    <w:semiHidden/>
    <w:rsid w:val="00ED33AA"/>
    <w:rPr>
      <w:rFonts w:ascii="Times New Roman" w:eastAsia="Times New Roman" w:hAnsi="Times New Roman" w:cs="Times New Roman"/>
      <w:b/>
      <w:bCs/>
      <w:sz w:val="20"/>
      <w:szCs w:val="20"/>
    </w:rPr>
  </w:style>
  <w:style w:type="table" w:styleId="TableGrid">
    <w:name w:val="Table Grid"/>
    <w:basedOn w:val="TableNormal"/>
    <w:uiPriority w:val="39"/>
    <w:rsid w:val="00FA3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F15F81"/>
    <w:pPr>
      <w:spacing w:after="200"/>
    </w:pPr>
    <w:rPr>
      <w:rFonts w:asciiTheme="minorHAnsi" w:eastAsiaTheme="minorHAnsi" w:hAnsiTheme="minorHAnsi" w:cstheme="minorBidi"/>
      <w:i/>
      <w:iCs/>
      <w:color w:val="44546A" w:themeColor="text2"/>
      <w:sz w:val="18"/>
      <w:szCs w:val="18"/>
    </w:rPr>
  </w:style>
  <w:style w:type="paragraph" w:styleId="Revision">
    <w:name w:val="Revision"/>
    <w:hidden/>
    <w:uiPriority w:val="99"/>
    <w:semiHidden/>
    <w:rsid w:val="00B904D0"/>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3B75C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9148">
      <w:bodyDiv w:val="1"/>
      <w:marLeft w:val="0"/>
      <w:marRight w:val="0"/>
      <w:marTop w:val="0"/>
      <w:marBottom w:val="0"/>
      <w:divBdr>
        <w:top w:val="none" w:sz="0" w:space="0" w:color="auto"/>
        <w:left w:val="none" w:sz="0" w:space="0" w:color="auto"/>
        <w:bottom w:val="none" w:sz="0" w:space="0" w:color="auto"/>
        <w:right w:val="none" w:sz="0" w:space="0" w:color="auto"/>
      </w:divBdr>
      <w:divsChild>
        <w:div w:id="1252012506">
          <w:marLeft w:val="0"/>
          <w:marRight w:val="0"/>
          <w:marTop w:val="0"/>
          <w:marBottom w:val="0"/>
          <w:divBdr>
            <w:top w:val="none" w:sz="0" w:space="0" w:color="auto"/>
            <w:left w:val="none" w:sz="0" w:space="0" w:color="auto"/>
            <w:bottom w:val="none" w:sz="0" w:space="0" w:color="auto"/>
            <w:right w:val="none" w:sz="0" w:space="0" w:color="auto"/>
          </w:divBdr>
          <w:divsChild>
            <w:div w:id="542451460">
              <w:marLeft w:val="0"/>
              <w:marRight w:val="0"/>
              <w:marTop w:val="0"/>
              <w:marBottom w:val="0"/>
              <w:divBdr>
                <w:top w:val="none" w:sz="0" w:space="0" w:color="auto"/>
                <w:left w:val="none" w:sz="0" w:space="0" w:color="auto"/>
                <w:bottom w:val="none" w:sz="0" w:space="0" w:color="auto"/>
                <w:right w:val="none" w:sz="0" w:space="0" w:color="auto"/>
              </w:divBdr>
              <w:divsChild>
                <w:div w:id="213543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97022">
      <w:bodyDiv w:val="1"/>
      <w:marLeft w:val="0"/>
      <w:marRight w:val="0"/>
      <w:marTop w:val="0"/>
      <w:marBottom w:val="0"/>
      <w:divBdr>
        <w:top w:val="none" w:sz="0" w:space="0" w:color="auto"/>
        <w:left w:val="none" w:sz="0" w:space="0" w:color="auto"/>
        <w:bottom w:val="none" w:sz="0" w:space="0" w:color="auto"/>
        <w:right w:val="none" w:sz="0" w:space="0" w:color="auto"/>
      </w:divBdr>
    </w:div>
    <w:div w:id="511381069">
      <w:bodyDiv w:val="1"/>
      <w:marLeft w:val="0"/>
      <w:marRight w:val="0"/>
      <w:marTop w:val="0"/>
      <w:marBottom w:val="0"/>
      <w:divBdr>
        <w:top w:val="none" w:sz="0" w:space="0" w:color="auto"/>
        <w:left w:val="none" w:sz="0" w:space="0" w:color="auto"/>
        <w:bottom w:val="none" w:sz="0" w:space="0" w:color="auto"/>
        <w:right w:val="none" w:sz="0" w:space="0" w:color="auto"/>
      </w:divBdr>
    </w:div>
    <w:div w:id="640353587">
      <w:bodyDiv w:val="1"/>
      <w:marLeft w:val="0"/>
      <w:marRight w:val="0"/>
      <w:marTop w:val="0"/>
      <w:marBottom w:val="0"/>
      <w:divBdr>
        <w:top w:val="none" w:sz="0" w:space="0" w:color="auto"/>
        <w:left w:val="none" w:sz="0" w:space="0" w:color="auto"/>
        <w:bottom w:val="none" w:sz="0" w:space="0" w:color="auto"/>
        <w:right w:val="none" w:sz="0" w:space="0" w:color="auto"/>
      </w:divBdr>
    </w:div>
    <w:div w:id="763843839">
      <w:bodyDiv w:val="1"/>
      <w:marLeft w:val="0"/>
      <w:marRight w:val="0"/>
      <w:marTop w:val="0"/>
      <w:marBottom w:val="0"/>
      <w:divBdr>
        <w:top w:val="none" w:sz="0" w:space="0" w:color="auto"/>
        <w:left w:val="none" w:sz="0" w:space="0" w:color="auto"/>
        <w:bottom w:val="none" w:sz="0" w:space="0" w:color="auto"/>
        <w:right w:val="none" w:sz="0" w:space="0" w:color="auto"/>
      </w:divBdr>
    </w:div>
    <w:div w:id="815073638">
      <w:bodyDiv w:val="1"/>
      <w:marLeft w:val="0"/>
      <w:marRight w:val="0"/>
      <w:marTop w:val="0"/>
      <w:marBottom w:val="0"/>
      <w:divBdr>
        <w:top w:val="none" w:sz="0" w:space="0" w:color="auto"/>
        <w:left w:val="none" w:sz="0" w:space="0" w:color="auto"/>
        <w:bottom w:val="none" w:sz="0" w:space="0" w:color="auto"/>
        <w:right w:val="none" w:sz="0" w:space="0" w:color="auto"/>
      </w:divBdr>
    </w:div>
    <w:div w:id="987630573">
      <w:bodyDiv w:val="1"/>
      <w:marLeft w:val="0"/>
      <w:marRight w:val="0"/>
      <w:marTop w:val="0"/>
      <w:marBottom w:val="0"/>
      <w:divBdr>
        <w:top w:val="none" w:sz="0" w:space="0" w:color="auto"/>
        <w:left w:val="none" w:sz="0" w:space="0" w:color="auto"/>
        <w:bottom w:val="none" w:sz="0" w:space="0" w:color="auto"/>
        <w:right w:val="none" w:sz="0" w:space="0" w:color="auto"/>
      </w:divBdr>
    </w:div>
    <w:div w:id="1093474465">
      <w:bodyDiv w:val="1"/>
      <w:marLeft w:val="0"/>
      <w:marRight w:val="0"/>
      <w:marTop w:val="0"/>
      <w:marBottom w:val="0"/>
      <w:divBdr>
        <w:top w:val="none" w:sz="0" w:space="0" w:color="auto"/>
        <w:left w:val="none" w:sz="0" w:space="0" w:color="auto"/>
        <w:bottom w:val="none" w:sz="0" w:space="0" w:color="auto"/>
        <w:right w:val="none" w:sz="0" w:space="0" w:color="auto"/>
      </w:divBdr>
    </w:div>
    <w:div w:id="1670786938">
      <w:bodyDiv w:val="1"/>
      <w:marLeft w:val="0"/>
      <w:marRight w:val="0"/>
      <w:marTop w:val="0"/>
      <w:marBottom w:val="0"/>
      <w:divBdr>
        <w:top w:val="none" w:sz="0" w:space="0" w:color="auto"/>
        <w:left w:val="none" w:sz="0" w:space="0" w:color="auto"/>
        <w:bottom w:val="none" w:sz="0" w:space="0" w:color="auto"/>
        <w:right w:val="none" w:sz="0" w:space="0" w:color="auto"/>
      </w:divBdr>
    </w:div>
    <w:div w:id="1951350621">
      <w:bodyDiv w:val="1"/>
      <w:marLeft w:val="0"/>
      <w:marRight w:val="0"/>
      <w:marTop w:val="0"/>
      <w:marBottom w:val="0"/>
      <w:divBdr>
        <w:top w:val="none" w:sz="0" w:space="0" w:color="auto"/>
        <w:left w:val="none" w:sz="0" w:space="0" w:color="auto"/>
        <w:bottom w:val="none" w:sz="0" w:space="0" w:color="auto"/>
        <w:right w:val="none" w:sz="0" w:space="0" w:color="auto"/>
      </w:divBdr>
    </w:div>
    <w:div w:id="1969361443">
      <w:bodyDiv w:val="1"/>
      <w:marLeft w:val="0"/>
      <w:marRight w:val="0"/>
      <w:marTop w:val="0"/>
      <w:marBottom w:val="0"/>
      <w:divBdr>
        <w:top w:val="none" w:sz="0" w:space="0" w:color="auto"/>
        <w:left w:val="none" w:sz="0" w:space="0" w:color="auto"/>
        <w:bottom w:val="none" w:sz="0" w:space="0" w:color="auto"/>
        <w:right w:val="none" w:sz="0" w:space="0" w:color="auto"/>
      </w:divBdr>
    </w:div>
    <w:div w:id="207192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rldefense.proofpoint.com/v2/url?u=https-3A__www.epa.gov_scram_merps-2Dview-2Dqlik&amp;d=DwMFAg&amp;c=GSntNbUav5AC0JJIyPOufmfQT3u3zI7UKdoVzPd-7og&amp;r=z3ugRQprcnTpAgN8N7vQPqcTxt0VMHLFsLvkcssK8uM&amp;m=1Zswaj35y1_EJcmk8Eyo4XSwUjAQ1vU0Ig68k-XcjfE&amp;s=220SzN99yz-9jW7KnHQy1rC9SuOHyDYNDIdnoklzIaU&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4336D-C8C4-4C97-9C3D-14169D11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Leath, Mark</dc:creator>
  <cp:keywords/>
  <dc:description/>
  <cp:lastModifiedBy>Reimer, Shelly</cp:lastModifiedBy>
  <cp:revision>5</cp:revision>
  <cp:lastPrinted>2019-12-20T17:18:00Z</cp:lastPrinted>
  <dcterms:created xsi:type="dcterms:W3CDTF">2020-08-13T16:51:00Z</dcterms:created>
  <dcterms:modified xsi:type="dcterms:W3CDTF">2021-04-17T05:35:00Z</dcterms:modified>
</cp:coreProperties>
</file>